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D9" w:rsidRDefault="00A317D9" w:rsidP="00A317D9">
      <w:pPr>
        <w:pStyle w:val="NoSpacing"/>
        <w:ind w:left="0" w:firstLine="0"/>
        <w:jc w:val="center"/>
      </w:pPr>
      <w:r>
        <w:t>COURT OF THE LOKPAL (OMBUDSMAN),</w:t>
      </w:r>
    </w:p>
    <w:p w:rsidR="00A317D9" w:rsidRDefault="00A317D9" w:rsidP="00A317D9">
      <w:pPr>
        <w:pStyle w:val="NoSpacing"/>
        <w:ind w:left="1440" w:firstLine="720"/>
      </w:pPr>
      <w:r>
        <w:t xml:space="preserve">       ELECTRICITY PUNJAB,</w:t>
      </w:r>
    </w:p>
    <w:p w:rsidR="00A317D9" w:rsidRDefault="00A317D9" w:rsidP="00A317D9">
      <w:pPr>
        <w:pStyle w:val="NoSpacing"/>
        <w:ind w:firstLine="0"/>
      </w:pPr>
      <w:r>
        <w:t xml:space="preserve">     PLOT NO. A-2, INDUSTRIAL AREA, PHASE-1,    </w:t>
      </w:r>
    </w:p>
    <w:p w:rsidR="00A317D9" w:rsidRDefault="00A317D9" w:rsidP="00A317D9">
      <w:pPr>
        <w:pStyle w:val="NoSpacing"/>
        <w:ind w:firstLine="0"/>
      </w:pPr>
      <w:r>
        <w:t xml:space="preserve">                       S.A.S NAGAR (MOHALI)</w:t>
      </w:r>
    </w:p>
    <w:p w:rsidR="00A317D9" w:rsidRDefault="00A317D9" w:rsidP="00A317D9">
      <w:pPr>
        <w:pStyle w:val="NoSpacing"/>
        <w:spacing w:line="480" w:lineRule="auto"/>
      </w:pPr>
    </w:p>
    <w:p w:rsidR="00A317D9" w:rsidRDefault="00A317D9" w:rsidP="00A317D9">
      <w:pPr>
        <w:pStyle w:val="NoSpacing"/>
        <w:spacing w:line="480" w:lineRule="auto"/>
        <w:jc w:val="center"/>
      </w:pPr>
      <w:r>
        <w:t>Appeal No. 62/2017</w:t>
      </w:r>
    </w:p>
    <w:p w:rsidR="00EA3282" w:rsidRDefault="00EA3282" w:rsidP="00A317D9">
      <w:pPr>
        <w:pStyle w:val="NoSpacing"/>
        <w:spacing w:line="480" w:lineRule="auto"/>
        <w:jc w:val="center"/>
      </w:pPr>
    </w:p>
    <w:p w:rsidR="00A317D9" w:rsidRDefault="00A317D9" w:rsidP="00A317D9">
      <w:pPr>
        <w:pStyle w:val="NoSpacing"/>
        <w:spacing w:line="480" w:lineRule="auto"/>
      </w:pPr>
      <w:r>
        <w:t>Date of Registration: 26.09.2017</w:t>
      </w:r>
    </w:p>
    <w:p w:rsidR="00A317D9" w:rsidRDefault="00A317D9" w:rsidP="00A317D9">
      <w:pPr>
        <w:pStyle w:val="NoSpacing"/>
        <w:spacing w:line="480" w:lineRule="auto"/>
      </w:pPr>
      <w:r>
        <w:t>Date of Hearing</w:t>
      </w:r>
      <w:r>
        <w:tab/>
        <w:t>: 22.02.2018</w:t>
      </w:r>
      <w:r>
        <w:tab/>
        <w:t>Date of Order: 27.02.2018</w:t>
      </w:r>
    </w:p>
    <w:p w:rsidR="00A317D9" w:rsidRPr="00AD0831" w:rsidRDefault="00A317D9" w:rsidP="00A317D9">
      <w:pPr>
        <w:pStyle w:val="NoSpacing"/>
        <w:rPr>
          <w:b/>
        </w:rPr>
      </w:pPr>
    </w:p>
    <w:p w:rsidR="00EA3282" w:rsidRPr="00AD0831" w:rsidRDefault="00034973" w:rsidP="00A317D9">
      <w:pPr>
        <w:pStyle w:val="NoSpacing"/>
        <w:rPr>
          <w:b/>
        </w:rPr>
      </w:pPr>
      <w:r w:rsidRPr="00AD0831">
        <w:rPr>
          <w:b/>
        </w:rPr>
        <w:t>In the matter of</w:t>
      </w:r>
    </w:p>
    <w:p w:rsidR="00A317D9" w:rsidRDefault="00A317D9" w:rsidP="00A317D9">
      <w:pPr>
        <w:pStyle w:val="NoSpacing"/>
        <w:jc w:val="center"/>
      </w:pPr>
      <w:r>
        <w:t>Arvind Gupta,</w:t>
      </w:r>
    </w:p>
    <w:p w:rsidR="00A317D9" w:rsidRDefault="00A317D9" w:rsidP="00A317D9">
      <w:pPr>
        <w:pStyle w:val="NoSpacing"/>
        <w:jc w:val="center"/>
      </w:pPr>
      <w:r>
        <w:t xml:space="preserve"> Pensla Exports India</w:t>
      </w:r>
    </w:p>
    <w:p w:rsidR="00A317D9" w:rsidRDefault="00A317D9" w:rsidP="00A317D9">
      <w:pPr>
        <w:pStyle w:val="NoSpacing"/>
        <w:jc w:val="center"/>
      </w:pPr>
      <w:r>
        <w:t>Ramco Colony, Sodal Road,</w:t>
      </w:r>
    </w:p>
    <w:p w:rsidR="00A317D9" w:rsidRDefault="00A317D9" w:rsidP="00A317D9">
      <w:pPr>
        <w:pStyle w:val="NoSpacing"/>
        <w:jc w:val="center"/>
      </w:pPr>
      <w:r>
        <w:t>Preet Nagar, Jalandhar.</w:t>
      </w:r>
    </w:p>
    <w:p w:rsidR="00A317D9" w:rsidRDefault="00A317D9" w:rsidP="00A317D9">
      <w:pPr>
        <w:pStyle w:val="NoSpacing"/>
        <w:jc w:val="center"/>
      </w:pPr>
    </w:p>
    <w:p w:rsidR="00A317D9" w:rsidRDefault="00A317D9" w:rsidP="00A317D9">
      <w:pPr>
        <w:ind w:left="5040" w:firstLine="720"/>
        <w:jc w:val="center"/>
        <w:rPr>
          <w:rFonts w:ascii="Times New Roman" w:hAnsi="Times New Roman" w:cs="Times New Roman"/>
          <w:sz w:val="28"/>
          <w:szCs w:val="28"/>
        </w:rPr>
      </w:pPr>
      <w:r>
        <w:rPr>
          <w:rFonts w:ascii="Times New Roman" w:hAnsi="Times New Roman" w:cs="Times New Roman"/>
          <w:sz w:val="28"/>
          <w:szCs w:val="28"/>
        </w:rPr>
        <w:t>…….Petitioner</w:t>
      </w:r>
    </w:p>
    <w:p w:rsidR="00A317D9" w:rsidRDefault="00A317D9" w:rsidP="00A317D9">
      <w:pPr>
        <w:ind w:left="2880" w:firstLine="720"/>
        <w:rPr>
          <w:rFonts w:ascii="Times New Roman" w:hAnsi="Times New Roman" w:cs="Times New Roman"/>
          <w:sz w:val="28"/>
          <w:szCs w:val="28"/>
        </w:rPr>
      </w:pPr>
      <w:r>
        <w:rPr>
          <w:rFonts w:ascii="Times New Roman" w:hAnsi="Times New Roman" w:cs="Times New Roman"/>
          <w:sz w:val="28"/>
          <w:szCs w:val="28"/>
        </w:rPr>
        <w:t>Versus</w:t>
      </w:r>
    </w:p>
    <w:p w:rsidR="00A317D9" w:rsidRDefault="00A317D9" w:rsidP="00A317D9">
      <w:pPr>
        <w:pStyle w:val="NoSpacing"/>
        <w:jc w:val="center"/>
      </w:pPr>
      <w:r>
        <w:t>Additional Superintending Engineer,</w:t>
      </w:r>
    </w:p>
    <w:p w:rsidR="00A317D9" w:rsidRDefault="00A317D9" w:rsidP="00A317D9">
      <w:pPr>
        <w:pStyle w:val="NoSpacing"/>
        <w:jc w:val="center"/>
      </w:pPr>
      <w:r>
        <w:t xml:space="preserve">DS East Division, </w:t>
      </w:r>
    </w:p>
    <w:p w:rsidR="00A317D9" w:rsidRDefault="00A317D9" w:rsidP="00A317D9">
      <w:pPr>
        <w:pStyle w:val="NoSpacing"/>
        <w:ind w:left="2160" w:firstLine="720"/>
      </w:pPr>
      <w:r>
        <w:t xml:space="preserve"> PSPCL, Jalandhar.</w:t>
      </w:r>
    </w:p>
    <w:p w:rsidR="00A317D9" w:rsidRDefault="00A317D9" w:rsidP="00A317D9">
      <w:pPr>
        <w:pStyle w:val="NoSpacing"/>
        <w:jc w:val="center"/>
      </w:pPr>
    </w:p>
    <w:p w:rsidR="00A317D9" w:rsidRDefault="00A317D9" w:rsidP="00A317D9">
      <w:pPr>
        <w:pStyle w:val="NoSpacing"/>
      </w:pPr>
      <w:r>
        <w:tab/>
      </w:r>
      <w:r>
        <w:tab/>
      </w:r>
      <w:r>
        <w:tab/>
      </w:r>
      <w:r>
        <w:tab/>
      </w:r>
      <w:r>
        <w:tab/>
      </w:r>
      <w:r>
        <w:tab/>
      </w:r>
      <w:r>
        <w:tab/>
      </w:r>
      <w:r>
        <w:tab/>
        <w:t xml:space="preserve">  .….Respondent</w:t>
      </w:r>
    </w:p>
    <w:p w:rsidR="00A317D9" w:rsidRDefault="00A317D9" w:rsidP="00A317D9">
      <w:pPr>
        <w:pStyle w:val="NoSpacing"/>
      </w:pPr>
    </w:p>
    <w:p w:rsidR="00A317D9" w:rsidRDefault="00A317D9" w:rsidP="00A317D9">
      <w:pPr>
        <w:pStyle w:val="NoSpacing"/>
        <w:ind w:left="0" w:firstLine="0"/>
        <w:rPr>
          <w:b/>
        </w:rPr>
      </w:pPr>
    </w:p>
    <w:p w:rsidR="00A317D9" w:rsidRDefault="00A317D9" w:rsidP="00A317D9">
      <w:pPr>
        <w:pStyle w:val="NoSpacing"/>
        <w:ind w:left="0" w:firstLine="0"/>
        <w:rPr>
          <w:b/>
        </w:rPr>
      </w:pPr>
      <w:r>
        <w:rPr>
          <w:b/>
        </w:rPr>
        <w:t>Present For</w:t>
      </w:r>
    </w:p>
    <w:p w:rsidR="00A317D9" w:rsidRDefault="00A317D9" w:rsidP="00A317D9">
      <w:pPr>
        <w:pStyle w:val="NoSpacing"/>
      </w:pPr>
    </w:p>
    <w:p w:rsidR="00A317D9" w:rsidRDefault="00A317D9" w:rsidP="00A317D9">
      <w:pPr>
        <w:pStyle w:val="NoSpacing"/>
        <w:spacing w:line="360" w:lineRule="auto"/>
      </w:pPr>
      <w:r>
        <w:t>Petitioner</w:t>
      </w:r>
      <w:r>
        <w:tab/>
      </w:r>
      <w:r>
        <w:tab/>
        <w:t>1. Shri Mayank Malhotra, Advocate (PC)</w:t>
      </w:r>
    </w:p>
    <w:p w:rsidR="00A317D9" w:rsidRDefault="00A317D9" w:rsidP="00A317D9">
      <w:pPr>
        <w:pStyle w:val="NoSpacing"/>
        <w:spacing w:line="360" w:lineRule="auto"/>
      </w:pPr>
      <w:r>
        <w:tab/>
      </w:r>
      <w:r>
        <w:tab/>
      </w:r>
      <w:r>
        <w:tab/>
        <w:t xml:space="preserve">2. Shri Arvind Gupta, Petitioner </w:t>
      </w:r>
    </w:p>
    <w:p w:rsidR="00A317D9" w:rsidRDefault="00A317D9" w:rsidP="00A317D9">
      <w:pPr>
        <w:pStyle w:val="NoSpacing"/>
      </w:pPr>
      <w:r>
        <w:t>Respondent</w:t>
      </w:r>
      <w:r>
        <w:tab/>
        <w:t>1. Er. Harjinder Si</w:t>
      </w:r>
      <w:r w:rsidR="00034973">
        <w:t>n</w:t>
      </w:r>
      <w:r>
        <w:t>gh Bansal,</w:t>
      </w:r>
      <w:r>
        <w:tab/>
      </w:r>
      <w:r>
        <w:tab/>
      </w:r>
      <w:r>
        <w:tab/>
      </w:r>
      <w:r>
        <w:tab/>
      </w:r>
      <w:r>
        <w:tab/>
        <w:t xml:space="preserve">    Additional Superintending Engineer,</w:t>
      </w:r>
    </w:p>
    <w:p w:rsidR="00F95E75" w:rsidRDefault="00F95E75" w:rsidP="00A317D9">
      <w:pPr>
        <w:pStyle w:val="NoSpacing"/>
        <w:ind w:left="1440" w:firstLine="720"/>
      </w:pPr>
    </w:p>
    <w:p w:rsidR="00A317D9" w:rsidRDefault="00A317D9" w:rsidP="00A317D9">
      <w:pPr>
        <w:pStyle w:val="NoSpacing"/>
        <w:ind w:left="1440" w:firstLine="720"/>
      </w:pPr>
      <w:r>
        <w:t>2. Shri Rajan Kumar, A.A.O.</w:t>
      </w:r>
    </w:p>
    <w:p w:rsidR="00EA3282" w:rsidRDefault="00EA3282" w:rsidP="00A317D9">
      <w:pPr>
        <w:pStyle w:val="NoSpacing"/>
        <w:ind w:left="1440" w:firstLine="720"/>
      </w:pPr>
    </w:p>
    <w:p w:rsidR="00EA3282" w:rsidRDefault="00EA3282" w:rsidP="00A317D9">
      <w:pPr>
        <w:pStyle w:val="NoSpacing"/>
        <w:ind w:left="1440" w:firstLine="720"/>
      </w:pPr>
    </w:p>
    <w:p w:rsidR="00A317D9" w:rsidRDefault="00A317D9" w:rsidP="00A317D9">
      <w:pPr>
        <w:pStyle w:val="NoSpacing"/>
        <w:spacing w:line="480" w:lineRule="auto"/>
        <w:ind w:left="0" w:firstLine="0"/>
      </w:pPr>
      <w:r>
        <w:lastRenderedPageBreak/>
        <w:tab/>
        <w:t>The Petitioner preferred an Appeal in this Court against the order dated 16.08.2017 in case No. CG-140 of 2017 of the Consumers Grievances Redressal Forum (Forum) deciding that:</w:t>
      </w:r>
    </w:p>
    <w:p w:rsidR="00A317D9" w:rsidRDefault="00A317D9" w:rsidP="00C50051">
      <w:pPr>
        <w:pStyle w:val="ListParagraph"/>
        <w:spacing w:line="36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   “The amount charged to the Petitioner on account of overhauling the account of the Petitioner from 01.10.2015 to 12.05.2017 (date of checking) by enhancing the recorded consumption of the Petitioner with 66% slowness factor due to carbonization potential of Red and Yellow Phases resulting in non-contribution of energy to the meter on two phases, is correct and recoverable.</w:t>
      </w:r>
    </w:p>
    <w:p w:rsidR="00A317D9" w:rsidRDefault="00A317D9" w:rsidP="00C50051">
      <w:pPr>
        <w:pStyle w:val="ListParagraph"/>
        <w:spacing w:line="36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   SE/Op. Circle, Jalandhar is directed to initiate disciplinary action against the delinquent officials/officers who failed to check the connection of the Petitioner as per Clause No. 104.1 of ESIM.</w:t>
      </w:r>
    </w:p>
    <w:p w:rsidR="00A317D9" w:rsidRDefault="00A317D9" w:rsidP="00C50051">
      <w:pPr>
        <w:spacing w:line="360" w:lineRule="auto"/>
        <w:ind w:left="1080"/>
        <w:jc w:val="both"/>
        <w:rPr>
          <w:rFonts w:ascii="Times New Roman" w:hAnsi="Times New Roman" w:cs="Times New Roman"/>
          <w:i/>
          <w:sz w:val="28"/>
          <w:szCs w:val="28"/>
        </w:rPr>
      </w:pPr>
      <w:r>
        <w:rPr>
          <w:rFonts w:ascii="Times New Roman" w:hAnsi="Times New Roman" w:cs="Times New Roman"/>
          <w:i/>
          <w:sz w:val="28"/>
          <w:szCs w:val="28"/>
        </w:rPr>
        <w:t xml:space="preserve">     Forum further directs the respondent to club both the connections of the Petitioner as per instructions of the Corporation.”</w:t>
      </w:r>
    </w:p>
    <w:p w:rsidR="00A317D9" w:rsidRDefault="00A317D9" w:rsidP="00A317D9">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ab/>
        <w:t>Facts of the Case</w:t>
      </w:r>
    </w:p>
    <w:p w:rsidR="00A317D9" w:rsidRDefault="00A317D9" w:rsidP="00A317D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A317D9" w:rsidRDefault="00A317D9" w:rsidP="00A317D9">
      <w:pPr>
        <w:pStyle w:val="ListParagraph"/>
        <w:numPr>
          <w:ilvl w:val="0"/>
          <w:numId w:val="1"/>
        </w:num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 Petitioner was having a Medium Supply Category connection, bearing Account No. 3002489680 with Sanctioned Load </w:t>
      </w:r>
      <w:r w:rsidR="00EE7C16">
        <w:rPr>
          <w:rFonts w:ascii="Times New Roman" w:hAnsi="Times New Roman" w:cs="Times New Roman"/>
          <w:sz w:val="28"/>
          <w:szCs w:val="28"/>
        </w:rPr>
        <w:t xml:space="preserve">of </w:t>
      </w:r>
      <w:r>
        <w:rPr>
          <w:rFonts w:ascii="Times New Roman" w:hAnsi="Times New Roman" w:cs="Times New Roman"/>
          <w:sz w:val="28"/>
          <w:szCs w:val="28"/>
        </w:rPr>
        <w:t xml:space="preserve">89.930kW and Contract Demand </w:t>
      </w:r>
      <w:r w:rsidR="00EE7C16">
        <w:rPr>
          <w:rFonts w:ascii="Times New Roman" w:hAnsi="Times New Roman" w:cs="Times New Roman"/>
          <w:sz w:val="28"/>
          <w:szCs w:val="28"/>
        </w:rPr>
        <w:t xml:space="preserve">of </w:t>
      </w:r>
      <w:r>
        <w:rPr>
          <w:rFonts w:ascii="Times New Roman" w:hAnsi="Times New Roman" w:cs="Times New Roman"/>
          <w:sz w:val="28"/>
          <w:szCs w:val="28"/>
        </w:rPr>
        <w:t>99.920kVA.  The metering was being done by providing LT CT static Energy Meter alongwith LT CTs.</w:t>
      </w:r>
    </w:p>
    <w:p w:rsidR="00A317D9" w:rsidRDefault="00A317D9" w:rsidP="00E22E9B">
      <w:pPr>
        <w:pStyle w:val="ListParagraph"/>
        <w:numPr>
          <w:ilvl w:val="0"/>
          <w:numId w:val="1"/>
        </w:numPr>
        <w:spacing w:line="480" w:lineRule="auto"/>
        <w:ind w:left="450" w:hanging="450"/>
        <w:jc w:val="both"/>
        <w:rPr>
          <w:rFonts w:ascii="Times New Roman" w:hAnsi="Times New Roman" w:cs="Times New Roman"/>
          <w:sz w:val="28"/>
          <w:szCs w:val="28"/>
        </w:rPr>
      </w:pPr>
      <w:r>
        <w:rPr>
          <w:rFonts w:ascii="Times New Roman" w:hAnsi="Times New Roman" w:cs="Times New Roman"/>
          <w:sz w:val="28"/>
          <w:szCs w:val="28"/>
        </w:rPr>
        <w:lastRenderedPageBreak/>
        <w:t>The connection was checked by the Senior Executive Engineer, Enforcement, PSPCL, Moga vide ECR No. 29/2023 dated 12.05.2017  as per which, it was reported as under:</w:t>
      </w:r>
    </w:p>
    <w:p w:rsidR="00A317D9" w:rsidRDefault="00A317D9" w:rsidP="008E6D93">
      <w:pPr>
        <w:pStyle w:val="ListParagraph"/>
        <w:spacing w:line="480" w:lineRule="auto"/>
        <w:ind w:left="1440" w:firstLine="360"/>
        <w:jc w:val="both"/>
        <w:rPr>
          <w:rFonts w:ascii="Joy" w:hAnsi="Joy" w:cs="Times New Roman"/>
          <w:i/>
          <w:sz w:val="28"/>
          <w:szCs w:val="28"/>
        </w:rPr>
      </w:pPr>
      <w:r>
        <w:rPr>
          <w:rFonts w:ascii="Times New Roman" w:hAnsi="Times New Roman" w:cs="Times New Roman"/>
          <w:i/>
          <w:sz w:val="28"/>
          <w:szCs w:val="28"/>
        </w:rPr>
        <w:t>“</w:t>
      </w:r>
      <w:r>
        <w:rPr>
          <w:rFonts w:ascii="Joy" w:hAnsi="Joy" w:cs="Times New Roman"/>
          <w:i/>
          <w:sz w:val="28"/>
          <w:szCs w:val="28"/>
        </w:rPr>
        <w:t>whNo dh n?e[o/;h n?b Nh  n?e[u?e whNo Bkb u?e eoB dh e'fµµ ehsh sK whNo dh n?e[o/;h u?e Bjh j' ;eh .  ;hNh   u+po y'be/  d/fynk sK nko Õ/; ns/ tkJh Õ/;  dh g'N?Bµhnb  bhv ekopB j'D ekoD fv;e[B?eN j' rJhnK jB .  whNo dh fv;gb/ ;eohB T[go th nko Õ/; ns/ tkJh Õ/; dh t'bN/°  °ho' j?.  i' fe eozN nko  6H40 n?wghno, tkJh 7H20 n?ghno ns/  ph 7H7 n?wghno  ns/ ph Õ/; dh  t'bN/° 236 t'bN j? Gkc whNo B{z 2 Õ/;K dh  t'bN/°   Bjh fwb ojh j? .</w:t>
      </w:r>
    </w:p>
    <w:p w:rsidR="00A317D9" w:rsidRDefault="00A317D9" w:rsidP="00A317D9">
      <w:pPr>
        <w:pStyle w:val="ListParagraph"/>
        <w:spacing w:line="480" w:lineRule="auto"/>
        <w:ind w:left="1080"/>
        <w:rPr>
          <w:rFonts w:ascii="Times New Roman" w:hAnsi="Times New Roman" w:cs="Times New Roman"/>
          <w:i/>
          <w:sz w:val="28"/>
          <w:szCs w:val="28"/>
        </w:rPr>
      </w:pPr>
      <w:r>
        <w:rPr>
          <w:rFonts w:ascii="Joy" w:hAnsi="Joy" w:cs="Times New Roman"/>
          <w:i/>
          <w:sz w:val="28"/>
          <w:szCs w:val="28"/>
        </w:rPr>
        <w:tab/>
        <w:t xml:space="preserve">fJ; e[B?eµB d/ ;hNh  u+po  d/ nko ns/ tkJh Õ/;  d/ g'N?Bµhnb   bhv; B{z mhe eotke/ d[[pkok n?e[o/;h u?e eoB dh e'fµµ ehsh  sK fco n?e[o/oh u?e Bjh j' ;eh ns/ whNo dh fv;gb/ ;eohB T[go nko ns/ ph c/; dh t'bN/° mhe eotkT[D  T[gozs th iho' j?  Gkt whNo nzdo fe;/ seBheh B[e;  g?D dh ;zGktBk j? .  whNo B{z ;w/s ;hNh°  fiT[ dh fvT[ jkbs ftu g?e ;hb eoe/ n?w Jh b?p fty/ iKu gVskb bJh fbnKdk               ikt/ . </w:t>
      </w:r>
      <w:r>
        <w:rPr>
          <w:rFonts w:ascii="Times New Roman" w:hAnsi="Times New Roman" w:cs="Times New Roman"/>
          <w:i/>
          <w:sz w:val="28"/>
          <w:szCs w:val="28"/>
        </w:rPr>
        <w:t>“</w:t>
      </w:r>
    </w:p>
    <w:p w:rsidR="00A317D9" w:rsidRDefault="00A317D9" w:rsidP="00C17252">
      <w:pPr>
        <w:pStyle w:val="ListParagraph"/>
        <w:numPr>
          <w:ilvl w:val="0"/>
          <w:numId w:val="1"/>
        </w:numPr>
        <w:spacing w:line="480" w:lineRule="auto"/>
        <w:ind w:left="630" w:hanging="630"/>
        <w:jc w:val="both"/>
        <w:rPr>
          <w:rFonts w:ascii="Times New Roman" w:hAnsi="Times New Roman" w:cs="Times New Roman"/>
          <w:i/>
          <w:sz w:val="28"/>
          <w:szCs w:val="28"/>
        </w:rPr>
      </w:pPr>
      <w:r>
        <w:rPr>
          <w:rFonts w:ascii="Times New Roman" w:hAnsi="Times New Roman" w:cs="Times New Roman"/>
          <w:sz w:val="28"/>
          <w:szCs w:val="28"/>
        </w:rPr>
        <w:t>On scrutinizing the DDL of the Energy Meter, Sr. Executive Engineer, Enforcement, PSPCL, Moga issued speaking orders on 15.05.2017 stating that:</w:t>
      </w:r>
      <w:r>
        <w:rPr>
          <w:rFonts w:ascii="Times New Roman" w:hAnsi="Times New Roman" w:cs="Times New Roman"/>
          <w:sz w:val="28"/>
          <w:szCs w:val="28"/>
        </w:rPr>
        <w:tab/>
      </w:r>
    </w:p>
    <w:p w:rsidR="00A317D9" w:rsidRDefault="00A317D9" w:rsidP="00A317D9">
      <w:pPr>
        <w:pStyle w:val="ListParagraph"/>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“As it is clear from the tamper data on/off and tamper potential data that potential of Red phase and Yellow phase ha</w:t>
      </w:r>
      <w:r w:rsidR="00222A05">
        <w:rPr>
          <w:rFonts w:ascii="Times New Roman" w:hAnsi="Times New Roman" w:cs="Times New Roman"/>
          <w:i/>
          <w:sz w:val="28"/>
          <w:szCs w:val="28"/>
        </w:rPr>
        <w:t>ve</w:t>
      </w:r>
      <w:r>
        <w:rPr>
          <w:rFonts w:ascii="Times New Roman" w:hAnsi="Times New Roman" w:cs="Times New Roman"/>
          <w:i/>
          <w:sz w:val="28"/>
          <w:szCs w:val="28"/>
        </w:rPr>
        <w:t xml:space="preserve"> been missing from 01.10.2015, so, kindly overhaul the account of the consumer from that date.  It is also intimated that consumer, bearing NRS account GT 62/559 for </w:t>
      </w:r>
      <w:r>
        <w:rPr>
          <w:rFonts w:ascii="Times New Roman" w:hAnsi="Times New Roman" w:cs="Times New Roman"/>
          <w:i/>
          <w:sz w:val="28"/>
          <w:szCs w:val="28"/>
        </w:rPr>
        <w:lastRenderedPageBreak/>
        <w:t xml:space="preserve">industrial usage, so, it is a case of UUE and do </w:t>
      </w:r>
      <w:r w:rsidR="00D05BF1">
        <w:rPr>
          <w:rFonts w:ascii="Times New Roman" w:hAnsi="Times New Roman" w:cs="Times New Roman"/>
          <w:i/>
          <w:sz w:val="28"/>
          <w:szCs w:val="28"/>
        </w:rPr>
        <w:t xml:space="preserve">the </w:t>
      </w:r>
      <w:r>
        <w:rPr>
          <w:rFonts w:ascii="Times New Roman" w:hAnsi="Times New Roman" w:cs="Times New Roman"/>
          <w:i/>
          <w:sz w:val="28"/>
          <w:szCs w:val="28"/>
        </w:rPr>
        <w:t>needful as per PSPCL guidelines.”</w:t>
      </w:r>
    </w:p>
    <w:p w:rsidR="00A317D9" w:rsidRDefault="00A317D9" w:rsidP="00A317D9">
      <w:pPr>
        <w:pStyle w:val="ListParagraph"/>
        <w:numPr>
          <w:ilvl w:val="0"/>
          <w:numId w:val="1"/>
        </w:numPr>
        <w:spacing w:line="480" w:lineRule="auto"/>
        <w:ind w:left="630" w:hanging="630"/>
        <w:jc w:val="both"/>
        <w:rPr>
          <w:rFonts w:ascii="Times New Roman" w:hAnsi="Times New Roman" w:cs="Times New Roman"/>
          <w:sz w:val="28"/>
          <w:szCs w:val="28"/>
        </w:rPr>
      </w:pPr>
      <w:r>
        <w:rPr>
          <w:rFonts w:ascii="Times New Roman" w:hAnsi="Times New Roman" w:cs="Times New Roman"/>
          <w:sz w:val="28"/>
          <w:szCs w:val="28"/>
        </w:rPr>
        <w:t>Based on the above checking and speaking orders of the Enforcement, Energy Meter was replaced vide Device Replacement Order dated 17.05.2017 and the account of the Petitioner was overhauled for the period 01.10.2015 to 12.05.2017 and notice bearing memo no. 2067 dated 18.05.2017 was issued to the Petitioner to deposit  a sum of  Rs. 12,07,834/-.</w:t>
      </w:r>
    </w:p>
    <w:p w:rsidR="00A317D9" w:rsidRDefault="00A317D9" w:rsidP="00A317D9">
      <w:pPr>
        <w:pStyle w:val="ListParagraph"/>
        <w:numPr>
          <w:ilvl w:val="0"/>
          <w:numId w:val="1"/>
        </w:numPr>
        <w:spacing w:line="480" w:lineRule="auto"/>
        <w:ind w:left="630" w:hanging="630"/>
        <w:jc w:val="both"/>
        <w:rPr>
          <w:rFonts w:ascii="Times New Roman" w:hAnsi="Times New Roman" w:cs="Times New Roman"/>
          <w:sz w:val="28"/>
          <w:szCs w:val="28"/>
        </w:rPr>
      </w:pPr>
      <w:r>
        <w:rPr>
          <w:rFonts w:ascii="Times New Roman" w:hAnsi="Times New Roman" w:cs="Times New Roman"/>
          <w:sz w:val="28"/>
          <w:szCs w:val="28"/>
        </w:rPr>
        <w:t>The Energy Meter was tested in ME Lab, Jalandhar and as per its report dated 20.07.2017, the Energy Meter was found dead at Red and Yellow Phases and slow to the extent of 66-67% when tested at  different loads and Power Factors.  The display of the Energy Meter was also found defective.</w:t>
      </w:r>
    </w:p>
    <w:p w:rsidR="00D34205" w:rsidRDefault="00A317D9" w:rsidP="00A317D9">
      <w:pPr>
        <w:pStyle w:val="ListParagraph"/>
        <w:numPr>
          <w:ilvl w:val="0"/>
          <w:numId w:val="1"/>
        </w:numPr>
        <w:spacing w:line="480" w:lineRule="auto"/>
        <w:ind w:left="630" w:hanging="630"/>
        <w:jc w:val="both"/>
        <w:rPr>
          <w:rFonts w:ascii="Times New Roman" w:hAnsi="Times New Roman" w:cs="Times New Roman"/>
          <w:sz w:val="28"/>
          <w:szCs w:val="28"/>
        </w:rPr>
      </w:pPr>
      <w:r w:rsidRPr="00452950">
        <w:rPr>
          <w:rFonts w:ascii="Times New Roman" w:hAnsi="Times New Roman" w:cs="Times New Roman"/>
          <w:sz w:val="28"/>
          <w:szCs w:val="28"/>
        </w:rPr>
        <w:t>The Petitioner did not agree with the demand raised and filed a Petition in the Forum wh</w:t>
      </w:r>
      <w:r w:rsidR="0009119B">
        <w:rPr>
          <w:rFonts w:ascii="Times New Roman" w:hAnsi="Times New Roman" w:cs="Times New Roman"/>
          <w:sz w:val="28"/>
          <w:szCs w:val="28"/>
        </w:rPr>
        <w:t>ich</w:t>
      </w:r>
      <w:r w:rsidRPr="00452950">
        <w:rPr>
          <w:rFonts w:ascii="Times New Roman" w:hAnsi="Times New Roman" w:cs="Times New Roman"/>
          <w:sz w:val="28"/>
          <w:szCs w:val="28"/>
        </w:rPr>
        <w:t xml:space="preserve">, after hearing, decided </w:t>
      </w:r>
      <w:r w:rsidR="00817526">
        <w:rPr>
          <w:rFonts w:ascii="Times New Roman" w:hAnsi="Times New Roman" w:cs="Times New Roman"/>
          <w:sz w:val="28"/>
          <w:szCs w:val="28"/>
        </w:rPr>
        <w:t xml:space="preserve"> </w:t>
      </w:r>
      <w:r w:rsidR="00FC2C41">
        <w:rPr>
          <w:rFonts w:ascii="Times New Roman" w:hAnsi="Times New Roman" w:cs="Times New Roman"/>
          <w:sz w:val="28"/>
          <w:szCs w:val="28"/>
        </w:rPr>
        <w:t>as mentioned at Page 2</w:t>
      </w:r>
      <w:r w:rsidR="00D34205">
        <w:rPr>
          <w:rFonts w:ascii="Times New Roman" w:hAnsi="Times New Roman" w:cs="Times New Roman"/>
          <w:sz w:val="28"/>
          <w:szCs w:val="28"/>
        </w:rPr>
        <w:t>.</w:t>
      </w:r>
    </w:p>
    <w:p w:rsidR="00A317D9" w:rsidRPr="00452950" w:rsidRDefault="00A317D9" w:rsidP="00A317D9">
      <w:pPr>
        <w:pStyle w:val="ListParagraph"/>
        <w:numPr>
          <w:ilvl w:val="0"/>
          <w:numId w:val="1"/>
        </w:numPr>
        <w:spacing w:line="480" w:lineRule="auto"/>
        <w:ind w:left="630" w:hanging="630"/>
        <w:jc w:val="both"/>
        <w:rPr>
          <w:rFonts w:ascii="Times New Roman" w:hAnsi="Times New Roman" w:cs="Times New Roman"/>
          <w:sz w:val="28"/>
          <w:szCs w:val="28"/>
        </w:rPr>
      </w:pPr>
      <w:r w:rsidRPr="00452950">
        <w:rPr>
          <w:rFonts w:ascii="Times New Roman" w:hAnsi="Times New Roman" w:cs="Times New Roman"/>
          <w:sz w:val="28"/>
          <w:szCs w:val="28"/>
        </w:rPr>
        <w:t>Not satisfied with the decision of the Forum, the Petitioner  filed      an Appeal in this Court  and  prayed as under:</w:t>
      </w:r>
    </w:p>
    <w:p w:rsidR="00A317D9" w:rsidRDefault="00A317D9" w:rsidP="00A317D9">
      <w:pPr>
        <w:pStyle w:val="ListParagraph"/>
        <w:spacing w:line="360" w:lineRule="auto"/>
        <w:ind w:left="990" w:firstLine="450"/>
        <w:jc w:val="both"/>
        <w:rPr>
          <w:rFonts w:ascii="Times New Roman" w:hAnsi="Times New Roman" w:cs="Times New Roman"/>
          <w:i/>
          <w:sz w:val="28"/>
          <w:szCs w:val="28"/>
        </w:rPr>
      </w:pPr>
      <w:r>
        <w:rPr>
          <w:rFonts w:ascii="Times New Roman" w:hAnsi="Times New Roman" w:cs="Times New Roman"/>
          <w:i/>
          <w:sz w:val="28"/>
          <w:szCs w:val="28"/>
        </w:rPr>
        <w:t xml:space="preserve">“The bill issued vide memo no. 2067 dated 18.05.2017  amounting to Rs. 12,27,706/- ( Rs. 12,07,84/- plus Rs. 19,892/- as Surcharge) by the respondent Corporation, which has been illegally upheld by the CGRF vide its order dated 16.08.2017 </w:t>
      </w:r>
      <w:r>
        <w:rPr>
          <w:rFonts w:ascii="Times New Roman" w:hAnsi="Times New Roman" w:cs="Times New Roman"/>
          <w:i/>
          <w:sz w:val="28"/>
          <w:szCs w:val="28"/>
        </w:rPr>
        <w:lastRenderedPageBreak/>
        <w:t>may be quashed and the amount deposited by the complainant may be refunded alongwith interest”.</w:t>
      </w:r>
    </w:p>
    <w:p w:rsidR="00A317D9" w:rsidRDefault="00A317D9" w:rsidP="00A317D9">
      <w:pPr>
        <w:pStyle w:val="ListParagraph"/>
        <w:spacing w:line="480" w:lineRule="auto"/>
        <w:ind w:left="0"/>
        <w:jc w:val="both"/>
        <w:rPr>
          <w:rFonts w:ascii="Times New Roman" w:hAnsi="Times New Roman" w:cs="Times New Roman"/>
          <w:b/>
          <w:sz w:val="28"/>
          <w:szCs w:val="28"/>
        </w:rPr>
      </w:pPr>
      <w:r w:rsidRPr="00187285">
        <w:rPr>
          <w:rFonts w:ascii="Times New Roman" w:hAnsi="Times New Roman" w:cs="Times New Roman"/>
          <w:b/>
          <w:sz w:val="28"/>
          <w:szCs w:val="28"/>
        </w:rPr>
        <w:t>3.</w:t>
      </w:r>
      <w:r>
        <w:rPr>
          <w:rFonts w:ascii="Times New Roman" w:hAnsi="Times New Roman" w:cs="Times New Roman"/>
          <w:sz w:val="28"/>
          <w:szCs w:val="28"/>
        </w:rPr>
        <w:tab/>
      </w:r>
      <w:r>
        <w:rPr>
          <w:rFonts w:ascii="Times New Roman" w:hAnsi="Times New Roman" w:cs="Times New Roman"/>
          <w:b/>
          <w:sz w:val="28"/>
          <w:szCs w:val="28"/>
        </w:rPr>
        <w:t>Analysis and Findings</w:t>
      </w:r>
    </w:p>
    <w:p w:rsidR="00A317D9" w:rsidRDefault="00A317D9" w:rsidP="00A317D9">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I have gone through submissions made by the Petitioner in the Appeal and written reply of the Respondent as well as oral submissions made by the representatives of the Petitioner and the Respondent alongwith material brought on record by both the sides. </w:t>
      </w:r>
    </w:p>
    <w:p w:rsidR="00A317D9" w:rsidRDefault="00A317D9" w:rsidP="00A317D9">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amount  charged to the Petitioner due to overhauling its account for the period from 01.10.2015 to 12.05.2017 (date of checking) by enhancing the recorded consumption with 66% slowness factor due to carbonization  of Potential of Red and Yellow Phases resulting in non-contribution of energy to the Energy Meter on these two phases.</w:t>
      </w:r>
    </w:p>
    <w:p w:rsidR="000A36FC" w:rsidRDefault="00A317D9" w:rsidP="000A36FC">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My findings, after analysis of the points</w:t>
      </w:r>
      <w:r w:rsidR="00CD665B">
        <w:rPr>
          <w:rFonts w:ascii="Times New Roman" w:hAnsi="Times New Roman" w:cs="Times New Roman"/>
          <w:i/>
          <w:sz w:val="28"/>
          <w:szCs w:val="28"/>
        </w:rPr>
        <w:t>,</w:t>
      </w:r>
      <w:r>
        <w:rPr>
          <w:rFonts w:ascii="Times New Roman" w:hAnsi="Times New Roman" w:cs="Times New Roman"/>
          <w:i/>
          <w:sz w:val="28"/>
          <w:szCs w:val="28"/>
        </w:rPr>
        <w:t xml:space="preserve"> </w:t>
      </w:r>
      <w:r w:rsidR="000A36FC">
        <w:rPr>
          <w:rFonts w:ascii="Times New Roman" w:hAnsi="Times New Roman" w:cs="Times New Roman"/>
          <w:i/>
          <w:sz w:val="28"/>
          <w:szCs w:val="28"/>
        </w:rPr>
        <w:t>are deliberated as under:</w:t>
      </w:r>
    </w:p>
    <w:p w:rsidR="00A317D9" w:rsidRDefault="000A36FC" w:rsidP="00EF122D">
      <w:pPr>
        <w:pStyle w:val="ListParagraph"/>
        <w:numPr>
          <w:ilvl w:val="0"/>
          <w:numId w:val="10"/>
        </w:numPr>
        <w:spacing w:line="480" w:lineRule="auto"/>
        <w:ind w:left="135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00A317D9">
        <w:rPr>
          <w:rFonts w:ascii="Times New Roman" w:hAnsi="Times New Roman" w:cs="Times New Roman"/>
          <w:sz w:val="28"/>
          <w:szCs w:val="28"/>
        </w:rPr>
        <w:t xml:space="preserve">PC contended that the connection of the Petitioner was checked vide ECR No. 29/2023 dated 12.05.2017, by the Addl. S.E/Enforcement, PSPCL, Moga who reported that Red and Yellow Phase potential leads in CT chamber were disconnected due to carbonization and that the accuracy of the Energy Meter could not be checked even after correcting Red and Yellow phase potential and correcting voltage of these phases.  The checking officer clearly concluded that </w:t>
      </w:r>
      <w:r w:rsidR="00A317D9">
        <w:rPr>
          <w:rFonts w:ascii="Times New Roman" w:hAnsi="Times New Roman" w:cs="Times New Roman"/>
          <w:sz w:val="28"/>
          <w:szCs w:val="28"/>
        </w:rPr>
        <w:lastRenderedPageBreak/>
        <w:t>there was technical fault in the Energy Meter.  This meant that the Energy Meter was defective as was confirmed on testing the same in ME Lab on 20.07.2017.</w:t>
      </w:r>
    </w:p>
    <w:p w:rsidR="00A317D9" w:rsidRDefault="00A317D9" w:rsidP="00A317D9">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 xml:space="preserve">I have perused the report dated 20.07.2017 of the ME Lab, PSPCL, Jalandhar  and observed that Energy Meter was found dead at Red and Yellow Phases and slow to the extent of 66 - 67% at different loads  and Power Factors and the Dial test </w:t>
      </w:r>
      <w:r w:rsidR="009E6835">
        <w:rPr>
          <w:rFonts w:ascii="Times New Roman" w:hAnsi="Times New Roman" w:cs="Times New Roman"/>
          <w:i/>
          <w:sz w:val="28"/>
          <w:szCs w:val="28"/>
        </w:rPr>
        <w:t>could</w:t>
      </w:r>
      <w:r>
        <w:rPr>
          <w:rFonts w:ascii="Times New Roman" w:hAnsi="Times New Roman" w:cs="Times New Roman"/>
          <w:i/>
          <w:sz w:val="28"/>
          <w:szCs w:val="28"/>
        </w:rPr>
        <w:t xml:space="preserve"> not be</w:t>
      </w:r>
      <w:r w:rsidR="009E6835">
        <w:rPr>
          <w:rFonts w:ascii="Times New Roman" w:hAnsi="Times New Roman" w:cs="Times New Roman"/>
          <w:i/>
          <w:sz w:val="28"/>
          <w:szCs w:val="28"/>
        </w:rPr>
        <w:t xml:space="preserve"> done be</w:t>
      </w:r>
      <w:r w:rsidR="00EA76F3">
        <w:rPr>
          <w:rFonts w:ascii="Times New Roman" w:hAnsi="Times New Roman" w:cs="Times New Roman"/>
          <w:i/>
          <w:sz w:val="28"/>
          <w:szCs w:val="28"/>
        </w:rPr>
        <w:t>c</w:t>
      </w:r>
      <w:r>
        <w:rPr>
          <w:rFonts w:ascii="Times New Roman" w:hAnsi="Times New Roman" w:cs="Times New Roman"/>
          <w:i/>
          <w:sz w:val="28"/>
          <w:szCs w:val="28"/>
        </w:rPr>
        <w:t>ause of defective display.  I also find that display of the Energy Meter was defective as per above report.</w:t>
      </w:r>
    </w:p>
    <w:p w:rsidR="00A317D9" w:rsidRPr="00FC7E57" w:rsidRDefault="009C41E6" w:rsidP="00EF122D">
      <w:pPr>
        <w:pStyle w:val="ListParagraph"/>
        <w:numPr>
          <w:ilvl w:val="0"/>
          <w:numId w:val="9"/>
        </w:numPr>
        <w:spacing w:line="480" w:lineRule="auto"/>
        <w:ind w:left="900" w:hanging="450"/>
        <w:jc w:val="both"/>
        <w:rPr>
          <w:rFonts w:ascii="Times New Roman" w:hAnsi="Times New Roman" w:cs="Times New Roman"/>
          <w:sz w:val="28"/>
          <w:szCs w:val="28"/>
        </w:rPr>
      </w:pPr>
      <w:r w:rsidRPr="00FC7E57">
        <w:rPr>
          <w:rFonts w:ascii="Times New Roman" w:hAnsi="Times New Roman" w:cs="Times New Roman"/>
          <w:sz w:val="28"/>
          <w:szCs w:val="28"/>
        </w:rPr>
        <w:t>(a)</w:t>
      </w:r>
      <w:r w:rsidRPr="00FC7E57">
        <w:rPr>
          <w:rFonts w:ascii="Times New Roman" w:hAnsi="Times New Roman" w:cs="Times New Roman"/>
          <w:sz w:val="28"/>
          <w:szCs w:val="28"/>
        </w:rPr>
        <w:tab/>
      </w:r>
      <w:r w:rsidR="00A317D9" w:rsidRPr="00FC7E57">
        <w:rPr>
          <w:rFonts w:ascii="Times New Roman" w:hAnsi="Times New Roman" w:cs="Times New Roman"/>
          <w:sz w:val="28"/>
          <w:szCs w:val="28"/>
        </w:rPr>
        <w:t>PC next contended</w:t>
      </w:r>
      <w:r w:rsidRPr="00FC7E57">
        <w:rPr>
          <w:rFonts w:ascii="Times New Roman" w:hAnsi="Times New Roman" w:cs="Times New Roman"/>
          <w:sz w:val="28"/>
          <w:szCs w:val="28"/>
        </w:rPr>
        <w:t xml:space="preserve"> that there was no basis of the</w:t>
      </w:r>
      <w:r w:rsidRPr="00FC7E57">
        <w:rPr>
          <w:rFonts w:ascii="Times New Roman" w:hAnsi="Times New Roman" w:cs="Times New Roman"/>
          <w:sz w:val="28"/>
          <w:szCs w:val="28"/>
        </w:rPr>
        <w:tab/>
      </w:r>
      <w:r w:rsidR="00A317D9" w:rsidRPr="00FC7E57">
        <w:rPr>
          <w:rFonts w:ascii="Times New Roman" w:hAnsi="Times New Roman" w:cs="Times New Roman"/>
          <w:sz w:val="28"/>
          <w:szCs w:val="28"/>
        </w:rPr>
        <w:t>conclusion drawn by the A</w:t>
      </w:r>
      <w:r w:rsidRPr="00FC7E57">
        <w:rPr>
          <w:rFonts w:ascii="Times New Roman" w:hAnsi="Times New Roman" w:cs="Times New Roman"/>
          <w:sz w:val="28"/>
          <w:szCs w:val="28"/>
        </w:rPr>
        <w:t>ddl. S.E, Enforcement, Moga, in</w:t>
      </w:r>
      <w:r w:rsidRPr="00FC7E57">
        <w:rPr>
          <w:rFonts w:ascii="Times New Roman" w:hAnsi="Times New Roman" w:cs="Times New Roman"/>
          <w:sz w:val="28"/>
          <w:szCs w:val="28"/>
        </w:rPr>
        <w:tab/>
      </w:r>
      <w:r w:rsidR="00A317D9" w:rsidRPr="00FC7E57">
        <w:rPr>
          <w:rFonts w:ascii="Times New Roman" w:hAnsi="Times New Roman" w:cs="Times New Roman"/>
          <w:sz w:val="28"/>
          <w:szCs w:val="28"/>
        </w:rPr>
        <w:t>its speaking orders, sent vide</w:t>
      </w:r>
      <w:r w:rsidRPr="00FC7E57">
        <w:rPr>
          <w:rFonts w:ascii="Times New Roman" w:hAnsi="Times New Roman" w:cs="Times New Roman"/>
          <w:sz w:val="28"/>
          <w:szCs w:val="28"/>
        </w:rPr>
        <w:t xml:space="preserve">  e-mail dated 15.05.2017, that</w:t>
      </w:r>
      <w:r w:rsidRPr="00FC7E57">
        <w:rPr>
          <w:rFonts w:ascii="Times New Roman" w:hAnsi="Times New Roman" w:cs="Times New Roman"/>
          <w:sz w:val="28"/>
          <w:szCs w:val="28"/>
        </w:rPr>
        <w:tab/>
      </w:r>
      <w:r w:rsidR="00A317D9" w:rsidRPr="00FC7E57">
        <w:rPr>
          <w:rFonts w:ascii="Times New Roman" w:hAnsi="Times New Roman" w:cs="Times New Roman"/>
          <w:sz w:val="28"/>
          <w:szCs w:val="28"/>
        </w:rPr>
        <w:t xml:space="preserve">the potentials of Red and </w:t>
      </w:r>
      <w:r w:rsidRPr="00FC7E57">
        <w:rPr>
          <w:rFonts w:ascii="Times New Roman" w:hAnsi="Times New Roman" w:cs="Times New Roman"/>
          <w:sz w:val="28"/>
          <w:szCs w:val="28"/>
        </w:rPr>
        <w:t>Yellow Phases were missing from</w:t>
      </w:r>
      <w:r w:rsidRPr="00FC7E57">
        <w:rPr>
          <w:rFonts w:ascii="Times New Roman" w:hAnsi="Times New Roman" w:cs="Times New Roman"/>
          <w:sz w:val="28"/>
          <w:szCs w:val="28"/>
        </w:rPr>
        <w:tab/>
      </w:r>
      <w:r w:rsidR="00A317D9" w:rsidRPr="00FC7E57">
        <w:rPr>
          <w:rFonts w:ascii="Times New Roman" w:hAnsi="Times New Roman" w:cs="Times New Roman"/>
          <w:sz w:val="28"/>
          <w:szCs w:val="28"/>
        </w:rPr>
        <w:t xml:space="preserve">01.10.2015.  </w:t>
      </w:r>
      <w:r w:rsidR="004C1CCC" w:rsidRPr="00FC7E57">
        <w:rPr>
          <w:rFonts w:ascii="Times New Roman" w:hAnsi="Times New Roman" w:cs="Times New Roman"/>
          <w:sz w:val="28"/>
          <w:szCs w:val="28"/>
        </w:rPr>
        <w:t xml:space="preserve">He further </w:t>
      </w:r>
      <w:r w:rsidR="0084408D" w:rsidRPr="00FC7E57">
        <w:rPr>
          <w:rFonts w:ascii="Times New Roman" w:hAnsi="Times New Roman" w:cs="Times New Roman"/>
          <w:sz w:val="28"/>
          <w:szCs w:val="28"/>
        </w:rPr>
        <w:t>stated</w:t>
      </w:r>
      <w:r w:rsidR="004C1CCC" w:rsidRPr="00FC7E57">
        <w:rPr>
          <w:rFonts w:ascii="Times New Roman" w:hAnsi="Times New Roman" w:cs="Times New Roman"/>
          <w:sz w:val="28"/>
          <w:szCs w:val="28"/>
        </w:rPr>
        <w:t xml:space="preserve"> that </w:t>
      </w:r>
      <w:r w:rsidR="00A317D9" w:rsidRPr="00FC7E57">
        <w:rPr>
          <w:rFonts w:ascii="Times New Roman" w:hAnsi="Times New Roman" w:cs="Times New Roman"/>
          <w:sz w:val="28"/>
          <w:szCs w:val="28"/>
        </w:rPr>
        <w:t>the sa</w:t>
      </w:r>
      <w:r w:rsidR="0084408D" w:rsidRPr="00FC7E57">
        <w:rPr>
          <w:rFonts w:ascii="Times New Roman" w:hAnsi="Times New Roman" w:cs="Times New Roman"/>
          <w:sz w:val="28"/>
          <w:szCs w:val="28"/>
        </w:rPr>
        <w:t>id orders were</w:t>
      </w:r>
      <w:r w:rsidR="0084408D" w:rsidRPr="00FC7E57">
        <w:rPr>
          <w:rFonts w:ascii="Times New Roman" w:hAnsi="Times New Roman" w:cs="Times New Roman"/>
          <w:sz w:val="28"/>
          <w:szCs w:val="28"/>
        </w:rPr>
        <w:tab/>
      </w:r>
      <w:r w:rsidR="004C1CCC" w:rsidRPr="00FC7E57">
        <w:rPr>
          <w:rFonts w:ascii="Times New Roman" w:hAnsi="Times New Roman" w:cs="Times New Roman"/>
          <w:sz w:val="28"/>
          <w:szCs w:val="28"/>
        </w:rPr>
        <w:t>passed</w:t>
      </w:r>
      <w:r w:rsidR="0084408D" w:rsidRPr="00FC7E57">
        <w:rPr>
          <w:rFonts w:ascii="Times New Roman" w:hAnsi="Times New Roman" w:cs="Times New Roman"/>
          <w:sz w:val="28"/>
          <w:szCs w:val="28"/>
        </w:rPr>
        <w:t xml:space="preserve"> </w:t>
      </w:r>
      <w:r w:rsidRPr="00FC7E57">
        <w:rPr>
          <w:rFonts w:ascii="Times New Roman" w:hAnsi="Times New Roman" w:cs="Times New Roman"/>
          <w:sz w:val="28"/>
          <w:szCs w:val="28"/>
        </w:rPr>
        <w:t>simply</w:t>
      </w:r>
      <w:r w:rsidR="00F17846" w:rsidRPr="00FC7E57">
        <w:rPr>
          <w:rFonts w:ascii="Times New Roman" w:hAnsi="Times New Roman" w:cs="Times New Roman"/>
          <w:sz w:val="28"/>
          <w:szCs w:val="28"/>
        </w:rPr>
        <w:t xml:space="preserve"> </w:t>
      </w:r>
      <w:r w:rsidR="00A317D9" w:rsidRPr="00FC7E57">
        <w:rPr>
          <w:rFonts w:ascii="Times New Roman" w:hAnsi="Times New Roman" w:cs="Times New Roman"/>
          <w:sz w:val="28"/>
          <w:szCs w:val="28"/>
        </w:rPr>
        <w:t xml:space="preserve">to justify the results of </w:t>
      </w:r>
      <w:r w:rsidR="00F57A4F" w:rsidRPr="00FC7E57">
        <w:rPr>
          <w:rFonts w:ascii="Times New Roman" w:hAnsi="Times New Roman" w:cs="Times New Roman"/>
          <w:sz w:val="28"/>
          <w:szCs w:val="28"/>
        </w:rPr>
        <w:t xml:space="preserve">the </w:t>
      </w:r>
      <w:r w:rsidRPr="00FC7E57">
        <w:rPr>
          <w:rFonts w:ascii="Times New Roman" w:hAnsi="Times New Roman" w:cs="Times New Roman"/>
          <w:sz w:val="28"/>
          <w:szCs w:val="28"/>
        </w:rPr>
        <w:t>checking</w:t>
      </w:r>
      <w:r w:rsidR="004C1CCC" w:rsidRPr="00FC7E57">
        <w:rPr>
          <w:rFonts w:ascii="Times New Roman" w:hAnsi="Times New Roman" w:cs="Times New Roman"/>
          <w:sz w:val="28"/>
          <w:szCs w:val="28"/>
        </w:rPr>
        <w:t xml:space="preserve"> dated</w:t>
      </w:r>
      <w:r w:rsidR="004C1CCC" w:rsidRPr="00FC7E57">
        <w:rPr>
          <w:rFonts w:ascii="Times New Roman" w:hAnsi="Times New Roman" w:cs="Times New Roman"/>
          <w:sz w:val="28"/>
          <w:szCs w:val="28"/>
        </w:rPr>
        <w:tab/>
      </w:r>
      <w:r w:rsidRPr="00FC7E57">
        <w:rPr>
          <w:rFonts w:ascii="Times New Roman" w:hAnsi="Times New Roman" w:cs="Times New Roman"/>
          <w:sz w:val="28"/>
          <w:szCs w:val="28"/>
        </w:rPr>
        <w:t>12.05.2017.  PC</w:t>
      </w:r>
      <w:r w:rsidR="004C1CCC" w:rsidRPr="00FC7E57">
        <w:rPr>
          <w:rFonts w:ascii="Times New Roman" w:hAnsi="Times New Roman" w:cs="Times New Roman"/>
          <w:sz w:val="28"/>
          <w:szCs w:val="28"/>
        </w:rPr>
        <w:t xml:space="preserve"> </w:t>
      </w:r>
      <w:r w:rsidR="00A317D9" w:rsidRPr="00FC7E57">
        <w:rPr>
          <w:rFonts w:ascii="Times New Roman" w:hAnsi="Times New Roman" w:cs="Times New Roman"/>
          <w:sz w:val="28"/>
          <w:szCs w:val="28"/>
        </w:rPr>
        <w:t xml:space="preserve">added that the Energy Meter </w:t>
      </w:r>
      <w:r w:rsidR="00AB5317" w:rsidRPr="00FC7E57">
        <w:rPr>
          <w:rFonts w:ascii="Times New Roman" w:hAnsi="Times New Roman" w:cs="Times New Roman"/>
          <w:sz w:val="28"/>
          <w:szCs w:val="28"/>
        </w:rPr>
        <w:t>had been</w:t>
      </w:r>
      <w:r w:rsidR="00AB5317" w:rsidRPr="00FC7E57">
        <w:rPr>
          <w:rFonts w:ascii="Times New Roman" w:hAnsi="Times New Roman" w:cs="Times New Roman"/>
          <w:sz w:val="28"/>
          <w:szCs w:val="28"/>
        </w:rPr>
        <w:tab/>
      </w:r>
      <w:r w:rsidRPr="00FC7E57">
        <w:rPr>
          <w:rFonts w:ascii="Times New Roman" w:hAnsi="Times New Roman" w:cs="Times New Roman"/>
          <w:sz w:val="28"/>
          <w:szCs w:val="28"/>
        </w:rPr>
        <w:t>declared defective, on</w:t>
      </w:r>
      <w:r w:rsidR="00CB789D" w:rsidRPr="00FC7E57">
        <w:rPr>
          <w:rFonts w:ascii="Times New Roman" w:hAnsi="Times New Roman" w:cs="Times New Roman"/>
          <w:sz w:val="28"/>
          <w:szCs w:val="28"/>
        </w:rPr>
        <w:t xml:space="preserve"> </w:t>
      </w:r>
      <w:r w:rsidR="00A317D9" w:rsidRPr="00FC7E57">
        <w:rPr>
          <w:rFonts w:ascii="Times New Roman" w:hAnsi="Times New Roman" w:cs="Times New Roman"/>
          <w:sz w:val="28"/>
          <w:szCs w:val="28"/>
        </w:rPr>
        <w:t>testing on 20.07.2017, by th</w:t>
      </w:r>
      <w:r w:rsidR="00E6174B" w:rsidRPr="00FC7E57">
        <w:rPr>
          <w:rFonts w:ascii="Times New Roman" w:hAnsi="Times New Roman" w:cs="Times New Roman"/>
          <w:sz w:val="28"/>
          <w:szCs w:val="28"/>
        </w:rPr>
        <w:t>e ME Lab,</w:t>
      </w:r>
      <w:r w:rsidR="00E6174B" w:rsidRPr="00FC7E57">
        <w:rPr>
          <w:rFonts w:ascii="Times New Roman" w:hAnsi="Times New Roman" w:cs="Times New Roman"/>
          <w:sz w:val="28"/>
          <w:szCs w:val="28"/>
        </w:rPr>
        <w:tab/>
      </w:r>
      <w:r w:rsidRPr="00FC7E57">
        <w:rPr>
          <w:rFonts w:ascii="Times New Roman" w:hAnsi="Times New Roman" w:cs="Times New Roman"/>
          <w:sz w:val="28"/>
          <w:szCs w:val="28"/>
        </w:rPr>
        <w:t>Jalandhar.  Moreover,</w:t>
      </w:r>
      <w:r w:rsidR="00103E29" w:rsidRPr="00FC7E57">
        <w:rPr>
          <w:rFonts w:ascii="Times New Roman" w:hAnsi="Times New Roman" w:cs="Times New Roman"/>
          <w:sz w:val="28"/>
          <w:szCs w:val="28"/>
        </w:rPr>
        <w:t xml:space="preserve"> </w:t>
      </w:r>
      <w:r w:rsidR="00A317D9" w:rsidRPr="00FC7E57">
        <w:rPr>
          <w:rFonts w:ascii="Times New Roman" w:hAnsi="Times New Roman" w:cs="Times New Roman"/>
          <w:sz w:val="28"/>
          <w:szCs w:val="28"/>
        </w:rPr>
        <w:t xml:space="preserve">the </w:t>
      </w:r>
      <w:r w:rsidR="00103E29" w:rsidRPr="00FC7E57">
        <w:rPr>
          <w:rFonts w:ascii="Times New Roman" w:hAnsi="Times New Roman" w:cs="Times New Roman"/>
          <w:sz w:val="28"/>
          <w:szCs w:val="28"/>
        </w:rPr>
        <w:t>checking officer did not supply</w:t>
      </w:r>
      <w:r w:rsidR="00103E29" w:rsidRPr="00FC7E57">
        <w:rPr>
          <w:rFonts w:ascii="Times New Roman" w:hAnsi="Times New Roman" w:cs="Times New Roman"/>
          <w:sz w:val="28"/>
          <w:szCs w:val="28"/>
        </w:rPr>
        <w:tab/>
      </w:r>
      <w:r w:rsidR="00A317D9" w:rsidRPr="00FC7E57">
        <w:rPr>
          <w:rFonts w:ascii="Times New Roman" w:hAnsi="Times New Roman" w:cs="Times New Roman"/>
          <w:sz w:val="28"/>
          <w:szCs w:val="28"/>
        </w:rPr>
        <w:t>any aut</w:t>
      </w:r>
      <w:r w:rsidRPr="00FC7E57">
        <w:rPr>
          <w:rFonts w:ascii="Times New Roman" w:hAnsi="Times New Roman" w:cs="Times New Roman"/>
          <w:sz w:val="28"/>
          <w:szCs w:val="28"/>
        </w:rPr>
        <w:t>hentic data in</w:t>
      </w:r>
      <w:r w:rsidRPr="00FC7E57">
        <w:rPr>
          <w:rFonts w:ascii="Times New Roman" w:hAnsi="Times New Roman" w:cs="Times New Roman"/>
          <w:sz w:val="28"/>
          <w:szCs w:val="28"/>
        </w:rPr>
        <w:tab/>
      </w:r>
      <w:r w:rsidR="00A317D9" w:rsidRPr="00FC7E57">
        <w:rPr>
          <w:rFonts w:ascii="Times New Roman" w:hAnsi="Times New Roman" w:cs="Times New Roman"/>
          <w:sz w:val="28"/>
          <w:szCs w:val="28"/>
        </w:rPr>
        <w:t>support of its findings th</w:t>
      </w:r>
      <w:r w:rsidR="00F500E7" w:rsidRPr="00FC7E57">
        <w:rPr>
          <w:rFonts w:ascii="Times New Roman" w:hAnsi="Times New Roman" w:cs="Times New Roman"/>
          <w:sz w:val="28"/>
          <w:szCs w:val="28"/>
        </w:rPr>
        <w:t>at</w:t>
      </w:r>
      <w:r w:rsidR="00F500E7" w:rsidRPr="00FC7E57">
        <w:rPr>
          <w:rFonts w:ascii="Times New Roman" w:hAnsi="Times New Roman" w:cs="Times New Roman"/>
          <w:sz w:val="28"/>
          <w:szCs w:val="28"/>
        </w:rPr>
        <w:tab/>
      </w:r>
      <w:r w:rsidRPr="00FC7E57">
        <w:rPr>
          <w:rFonts w:ascii="Times New Roman" w:hAnsi="Times New Roman" w:cs="Times New Roman"/>
          <w:sz w:val="28"/>
          <w:szCs w:val="28"/>
        </w:rPr>
        <w:t>Potentials of Red and Yellow</w:t>
      </w:r>
      <w:r w:rsidR="00AB5317" w:rsidRPr="00FC7E57">
        <w:rPr>
          <w:rFonts w:ascii="Times New Roman" w:hAnsi="Times New Roman" w:cs="Times New Roman"/>
          <w:sz w:val="28"/>
          <w:szCs w:val="28"/>
        </w:rPr>
        <w:t xml:space="preserve"> </w:t>
      </w:r>
      <w:r w:rsidR="00A317D9" w:rsidRPr="00FC7E57">
        <w:rPr>
          <w:rFonts w:ascii="Times New Roman" w:hAnsi="Times New Roman" w:cs="Times New Roman"/>
          <w:sz w:val="28"/>
          <w:szCs w:val="28"/>
        </w:rPr>
        <w:t>Phases were missing from</w:t>
      </w:r>
      <w:r w:rsidR="004D5054" w:rsidRPr="00FC7E57">
        <w:rPr>
          <w:rFonts w:ascii="Times New Roman" w:hAnsi="Times New Roman" w:cs="Times New Roman"/>
          <w:sz w:val="28"/>
          <w:szCs w:val="28"/>
        </w:rPr>
        <w:tab/>
      </w:r>
      <w:r w:rsidRPr="00FC7E57">
        <w:rPr>
          <w:rFonts w:ascii="Times New Roman" w:hAnsi="Times New Roman" w:cs="Times New Roman"/>
          <w:sz w:val="28"/>
          <w:szCs w:val="28"/>
        </w:rPr>
        <w:t>01.10.2015.  The Forum did not</w:t>
      </w:r>
      <w:r w:rsidRPr="00FC7E57">
        <w:rPr>
          <w:rFonts w:ascii="Times New Roman" w:hAnsi="Times New Roman" w:cs="Times New Roman"/>
          <w:sz w:val="28"/>
          <w:szCs w:val="28"/>
        </w:rPr>
        <w:tab/>
      </w:r>
      <w:r w:rsidR="00EA76F3" w:rsidRPr="00FC7E57">
        <w:rPr>
          <w:rFonts w:ascii="Times New Roman" w:hAnsi="Times New Roman" w:cs="Times New Roman"/>
          <w:sz w:val="28"/>
          <w:szCs w:val="28"/>
        </w:rPr>
        <w:t>give any reasoned decision</w:t>
      </w:r>
      <w:r w:rsidR="00EA76F3" w:rsidRPr="00FC7E57">
        <w:rPr>
          <w:rFonts w:ascii="Times New Roman" w:hAnsi="Times New Roman" w:cs="Times New Roman"/>
          <w:sz w:val="28"/>
          <w:szCs w:val="28"/>
        </w:rPr>
        <w:tab/>
      </w:r>
      <w:r w:rsidRPr="00FC7E57">
        <w:rPr>
          <w:rFonts w:ascii="Times New Roman" w:hAnsi="Times New Roman" w:cs="Times New Roman"/>
          <w:sz w:val="28"/>
          <w:szCs w:val="28"/>
        </w:rPr>
        <w:t>and did not get any document on</w:t>
      </w:r>
      <w:r w:rsidR="00AB5317" w:rsidRPr="00FC7E57">
        <w:rPr>
          <w:rFonts w:ascii="Times New Roman" w:hAnsi="Times New Roman" w:cs="Times New Roman"/>
          <w:sz w:val="28"/>
          <w:szCs w:val="28"/>
        </w:rPr>
        <w:t xml:space="preserve"> </w:t>
      </w:r>
      <w:r w:rsidR="00A317D9" w:rsidRPr="00FC7E57">
        <w:rPr>
          <w:rFonts w:ascii="Times New Roman" w:hAnsi="Times New Roman" w:cs="Times New Roman"/>
          <w:sz w:val="28"/>
          <w:szCs w:val="28"/>
        </w:rPr>
        <w:t>record.</w:t>
      </w:r>
    </w:p>
    <w:p w:rsidR="00A317D9" w:rsidRDefault="00F216C4" w:rsidP="00F216C4">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5828">
        <w:rPr>
          <w:rFonts w:ascii="Times New Roman" w:hAnsi="Times New Roman" w:cs="Times New Roman"/>
          <w:sz w:val="28"/>
          <w:szCs w:val="28"/>
        </w:rPr>
        <w:t xml:space="preserve">On the other hand, </w:t>
      </w:r>
      <w:r w:rsidR="00A317D9">
        <w:rPr>
          <w:rFonts w:ascii="Times New Roman" w:hAnsi="Times New Roman" w:cs="Times New Roman"/>
          <w:sz w:val="28"/>
          <w:szCs w:val="28"/>
        </w:rPr>
        <w:t xml:space="preserve">the Respondent, in its defence, stated that the connection was checked by the Enforcement on 12.05.2017 and it was reported that Red and Yellow Phase Potential leads were found disconnected due to carbonization.  DDL of the Energy Meter was also done at the time of checking by the Enforcement which noticed, from DDL tamper data, that Red Phase and Yellow Phase Potentials were missing since  01.10.2015. </w:t>
      </w:r>
      <w:r w:rsidR="00723BAF">
        <w:rPr>
          <w:rFonts w:ascii="Times New Roman" w:hAnsi="Times New Roman" w:cs="Times New Roman"/>
          <w:sz w:val="28"/>
          <w:szCs w:val="28"/>
        </w:rPr>
        <w:t xml:space="preserve"> </w:t>
      </w:r>
      <w:r w:rsidR="00A317D9">
        <w:rPr>
          <w:rFonts w:ascii="Times New Roman" w:hAnsi="Times New Roman" w:cs="Times New Roman"/>
          <w:sz w:val="28"/>
          <w:szCs w:val="28"/>
        </w:rPr>
        <w:t>The Respondent admitted that as per ME Lab Report, Energy Meter was found dead at Red and Yellow Phase.  However, the Respondent added that the Enforcement office, Moga supplied complete DDL Report/Data which was given to the Petitioner, during the course of hearing, in the Forum.</w:t>
      </w:r>
    </w:p>
    <w:p w:rsidR="00A317D9" w:rsidRDefault="00A317D9" w:rsidP="00167291">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PC argued that according to Regulation 21.5.2 of Supply Code-2014, in the case of defective Energy Meter, the account of the Petitioner </w:t>
      </w:r>
      <w:r w:rsidR="00890770">
        <w:rPr>
          <w:rFonts w:ascii="Times New Roman" w:hAnsi="Times New Roman" w:cs="Times New Roman"/>
          <w:sz w:val="28"/>
          <w:szCs w:val="28"/>
        </w:rPr>
        <w:t>can</w:t>
      </w:r>
      <w:r>
        <w:rPr>
          <w:rFonts w:ascii="Times New Roman" w:hAnsi="Times New Roman" w:cs="Times New Roman"/>
          <w:sz w:val="28"/>
          <w:szCs w:val="28"/>
        </w:rPr>
        <w:t xml:space="preserve"> be overhauled / billed for a maximum period of six months on the basis of energy consumption of corresponding period of previous year.  PC added that the Forum had clearly admitted, in its observations, recorded in the last para of Page 7 of the decision, that the Energy Meter remained defective/dead stop.</w:t>
      </w:r>
    </w:p>
    <w:p w:rsidR="00561C65" w:rsidRPr="005C3680" w:rsidRDefault="00890770" w:rsidP="00561C65">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lastRenderedPageBreak/>
        <w:t>T</w:t>
      </w:r>
      <w:r w:rsidR="00A317D9">
        <w:rPr>
          <w:rFonts w:ascii="Times New Roman" w:hAnsi="Times New Roman" w:cs="Times New Roman"/>
          <w:sz w:val="28"/>
          <w:szCs w:val="28"/>
        </w:rPr>
        <w:t>he Respondent admitted that Regulation 21.5.2 of Supply Code-2014 related to defective Energy Meter but added that in this case, Potentials of Red and Yellow Phases were not contributing since 01.10.2015 as it was clear from the Tamper Data. The Respondent added that the PSPCL had installed correct Energy Meter but due to carbonization, Potentials of Red and Yellow Phases did not contribute to the Energy Meter which, in turn, did not record consumption on these two phases during the period under dispute.</w:t>
      </w:r>
    </w:p>
    <w:p w:rsidR="00E10D35" w:rsidRPr="005C3680" w:rsidRDefault="00561C65" w:rsidP="005C368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PC next contended that the consump0tion recorded by the Energy Meter</w:t>
      </w:r>
      <w:r w:rsidR="00350540">
        <w:rPr>
          <w:rFonts w:ascii="Times New Roman" w:hAnsi="Times New Roman" w:cs="Times New Roman"/>
          <w:sz w:val="28"/>
          <w:szCs w:val="28"/>
        </w:rPr>
        <w:t xml:space="preserve"> before and after 12.05.2017, was comparable and there was not huge variation.  The firm was Export Unit and lesser consumption of electricity was due to the reason</w:t>
      </w:r>
      <w:r w:rsidR="00E050D4">
        <w:rPr>
          <w:rFonts w:ascii="Times New Roman" w:hAnsi="Times New Roman" w:cs="Times New Roman"/>
          <w:sz w:val="28"/>
          <w:szCs w:val="28"/>
        </w:rPr>
        <w:t xml:space="preserve"> </w:t>
      </w:r>
      <w:r w:rsidR="00350540">
        <w:rPr>
          <w:rFonts w:ascii="Times New Roman" w:hAnsi="Times New Roman" w:cs="Times New Roman"/>
          <w:sz w:val="28"/>
          <w:szCs w:val="28"/>
        </w:rPr>
        <w:t xml:space="preserve"> </w:t>
      </w:r>
      <w:r w:rsidR="0072764E">
        <w:rPr>
          <w:rFonts w:ascii="Times New Roman" w:hAnsi="Times New Roman" w:cs="Times New Roman"/>
          <w:sz w:val="28"/>
          <w:szCs w:val="28"/>
        </w:rPr>
        <w:t xml:space="preserve"> that it purchased manufactured goods from the market ( as manufacturing them would not have been cost effective) and electricity in the unit was consumed very less in order to cover minimum charges.  The Forum ignored these genuine submissions and did not give reasoned / speaking order on the pleadings of the Petitioner. However, the Forum did mention in its order that no Energy Variation Register was maintained in the office of the Respondent to watch the variations in energy consumption as prescribed in Instruction No. 102.7 of </w:t>
      </w:r>
      <w:r w:rsidR="0072764E">
        <w:rPr>
          <w:rFonts w:ascii="Times New Roman" w:hAnsi="Times New Roman" w:cs="Times New Roman"/>
          <w:sz w:val="28"/>
          <w:szCs w:val="28"/>
        </w:rPr>
        <w:lastRenderedPageBreak/>
        <w:t>ESIM 2010.  PC also stated that the consumption data was placed on record of the Forum which took due cognizance of the same.</w:t>
      </w:r>
    </w:p>
    <w:p w:rsidR="00A317D9" w:rsidRDefault="00A317D9" w:rsidP="00D315CA">
      <w:pPr>
        <w:pStyle w:val="ListParagraph"/>
        <w:spacing w:line="480" w:lineRule="auto"/>
        <w:ind w:left="0" w:firstLine="630"/>
        <w:jc w:val="both"/>
        <w:rPr>
          <w:rFonts w:ascii="Times New Roman" w:hAnsi="Times New Roman" w:cs="Times New Roman"/>
          <w:sz w:val="28"/>
          <w:szCs w:val="28"/>
        </w:rPr>
      </w:pPr>
      <w:r>
        <w:rPr>
          <w:rFonts w:ascii="Times New Roman" w:hAnsi="Times New Roman" w:cs="Times New Roman"/>
          <w:sz w:val="28"/>
          <w:szCs w:val="28"/>
        </w:rPr>
        <w:t>During the course of hearing on 22.02.2018</w:t>
      </w:r>
      <w:r w:rsidR="0009119B">
        <w:rPr>
          <w:rFonts w:ascii="Times New Roman" w:hAnsi="Times New Roman" w:cs="Times New Roman"/>
          <w:sz w:val="28"/>
          <w:szCs w:val="28"/>
        </w:rPr>
        <w:t xml:space="preserve">, with a view </w:t>
      </w:r>
      <w:r w:rsidR="00FC4933">
        <w:rPr>
          <w:rFonts w:ascii="Times New Roman" w:hAnsi="Times New Roman" w:cs="Times New Roman"/>
          <w:sz w:val="28"/>
          <w:szCs w:val="28"/>
        </w:rPr>
        <w:t xml:space="preserve">to prove </w:t>
      </w:r>
      <w:r w:rsidR="0009119B">
        <w:rPr>
          <w:rFonts w:ascii="Times New Roman" w:hAnsi="Times New Roman" w:cs="Times New Roman"/>
          <w:sz w:val="28"/>
          <w:szCs w:val="28"/>
        </w:rPr>
        <w:t xml:space="preserve">its contention that </w:t>
      </w:r>
      <w:r w:rsidR="00AA2613">
        <w:rPr>
          <w:rFonts w:ascii="Times New Roman" w:hAnsi="Times New Roman" w:cs="Times New Roman"/>
          <w:sz w:val="28"/>
          <w:szCs w:val="28"/>
        </w:rPr>
        <w:t>l</w:t>
      </w:r>
      <w:r w:rsidR="00D612FA">
        <w:rPr>
          <w:rFonts w:ascii="Times New Roman" w:hAnsi="Times New Roman" w:cs="Times New Roman"/>
          <w:sz w:val="28"/>
          <w:szCs w:val="28"/>
        </w:rPr>
        <w:t>esser</w:t>
      </w:r>
      <w:r w:rsidR="00AA2613">
        <w:rPr>
          <w:rFonts w:ascii="Times New Roman" w:hAnsi="Times New Roman" w:cs="Times New Roman"/>
          <w:sz w:val="28"/>
          <w:szCs w:val="28"/>
        </w:rPr>
        <w:t xml:space="preserve"> </w:t>
      </w:r>
      <w:r w:rsidR="002F2136">
        <w:rPr>
          <w:rFonts w:ascii="Times New Roman" w:hAnsi="Times New Roman" w:cs="Times New Roman"/>
          <w:sz w:val="28"/>
          <w:szCs w:val="28"/>
        </w:rPr>
        <w:t>P</w:t>
      </w:r>
      <w:r w:rsidR="00FC4933">
        <w:rPr>
          <w:rFonts w:ascii="Times New Roman" w:hAnsi="Times New Roman" w:cs="Times New Roman"/>
          <w:sz w:val="28"/>
          <w:szCs w:val="28"/>
        </w:rPr>
        <w:t xml:space="preserve">ower </w:t>
      </w:r>
      <w:r w:rsidR="002F2136">
        <w:rPr>
          <w:rFonts w:ascii="Times New Roman" w:hAnsi="Times New Roman" w:cs="Times New Roman"/>
          <w:sz w:val="28"/>
          <w:szCs w:val="28"/>
        </w:rPr>
        <w:t>C</w:t>
      </w:r>
      <w:r w:rsidR="00FC4933">
        <w:rPr>
          <w:rFonts w:ascii="Times New Roman" w:hAnsi="Times New Roman" w:cs="Times New Roman"/>
          <w:sz w:val="28"/>
          <w:szCs w:val="28"/>
        </w:rPr>
        <w:t xml:space="preserve">onsumption </w:t>
      </w:r>
      <w:r w:rsidR="00D612FA">
        <w:rPr>
          <w:rFonts w:ascii="Times New Roman" w:hAnsi="Times New Roman" w:cs="Times New Roman"/>
          <w:sz w:val="28"/>
          <w:szCs w:val="28"/>
        </w:rPr>
        <w:t xml:space="preserve">was </w:t>
      </w:r>
      <w:r w:rsidR="00FC4933">
        <w:rPr>
          <w:rFonts w:ascii="Times New Roman" w:hAnsi="Times New Roman" w:cs="Times New Roman"/>
          <w:sz w:val="28"/>
          <w:szCs w:val="28"/>
        </w:rPr>
        <w:t xml:space="preserve">due to not manufacturing the exportable goods and substituting them with the goods purchased from the market, </w:t>
      </w:r>
      <w:r>
        <w:rPr>
          <w:rFonts w:ascii="Times New Roman" w:hAnsi="Times New Roman" w:cs="Times New Roman"/>
          <w:sz w:val="28"/>
          <w:szCs w:val="28"/>
        </w:rPr>
        <w:t xml:space="preserve">PC placed on record of this Court </w:t>
      </w:r>
      <w:r w:rsidR="00FC4933">
        <w:rPr>
          <w:rFonts w:ascii="Times New Roman" w:hAnsi="Times New Roman" w:cs="Times New Roman"/>
          <w:sz w:val="28"/>
          <w:szCs w:val="28"/>
        </w:rPr>
        <w:t xml:space="preserve">a certificate </w:t>
      </w:r>
      <w:r>
        <w:rPr>
          <w:rFonts w:ascii="Times New Roman" w:hAnsi="Times New Roman" w:cs="Times New Roman"/>
          <w:sz w:val="28"/>
          <w:szCs w:val="28"/>
        </w:rPr>
        <w:t>from Aggarwal Rajesh &amp; Associates, Chartered Accountants, Jalandhar certifying as under:</w:t>
      </w:r>
    </w:p>
    <w:p w:rsidR="00A317D9" w:rsidRDefault="00A317D9" w:rsidP="00E63AA8">
      <w:pPr>
        <w:pStyle w:val="ListParagraph"/>
        <w:spacing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This is to certify that M/s Pensla Export India proprietor of Sh. Arvind Gupta (</w:t>
      </w:r>
      <w:r w:rsidR="002C751E">
        <w:rPr>
          <w:rFonts w:ascii="Times New Roman" w:hAnsi="Times New Roman" w:cs="Times New Roman"/>
          <w:i/>
          <w:sz w:val="28"/>
          <w:szCs w:val="28"/>
        </w:rPr>
        <w:t>f</w:t>
      </w:r>
      <w:r>
        <w:rPr>
          <w:rFonts w:ascii="Times New Roman" w:hAnsi="Times New Roman" w:cs="Times New Roman"/>
          <w:i/>
          <w:sz w:val="28"/>
          <w:szCs w:val="28"/>
        </w:rPr>
        <w:t xml:space="preserve">ormally </w:t>
      </w:r>
      <w:r w:rsidR="006F66C1">
        <w:rPr>
          <w:rFonts w:ascii="Times New Roman" w:hAnsi="Times New Roman" w:cs="Times New Roman"/>
          <w:i/>
          <w:sz w:val="28"/>
          <w:szCs w:val="28"/>
        </w:rPr>
        <w:t>k</w:t>
      </w:r>
      <w:r>
        <w:rPr>
          <w:rFonts w:ascii="Times New Roman" w:hAnsi="Times New Roman" w:cs="Times New Roman"/>
          <w:i/>
          <w:sz w:val="28"/>
          <w:szCs w:val="28"/>
        </w:rPr>
        <w:t>nown as Vinod Electroplating Works) Backside Sodal Mandir Road, Jalandhar has declared purchases against  “H”  Form for the year 2015-16 and 2016-17. These purchases were made in the form of Finished Goods against “H” Form and sale as such as for export purpose:</w:t>
      </w:r>
    </w:p>
    <w:p w:rsidR="00A317D9" w:rsidRDefault="00A317D9" w:rsidP="00A317D9">
      <w:pPr>
        <w:pStyle w:val="ListParagraph"/>
        <w:spacing w:line="360" w:lineRule="auto"/>
        <w:ind w:left="0" w:firstLine="720"/>
        <w:jc w:val="both"/>
        <w:rPr>
          <w:rFonts w:ascii="Times New Roman" w:hAnsi="Times New Roman" w:cs="Times New Roman"/>
          <w:b/>
          <w:i/>
          <w:sz w:val="28"/>
          <w:szCs w:val="28"/>
        </w:rPr>
      </w:pPr>
      <w:r>
        <w:rPr>
          <w:rFonts w:ascii="Times New Roman" w:hAnsi="Times New Roman" w:cs="Times New Roman"/>
          <w:b/>
          <w:i/>
          <w:sz w:val="28"/>
          <w:szCs w:val="28"/>
        </w:rPr>
        <w:t>2015-16</w:t>
      </w:r>
    </w:p>
    <w:tbl>
      <w:tblPr>
        <w:tblStyle w:val="TableGrid"/>
        <w:tblW w:w="0" w:type="auto"/>
        <w:tblInd w:w="648" w:type="dxa"/>
        <w:tblLook w:val="04A0"/>
      </w:tblPr>
      <w:tblGrid>
        <w:gridCol w:w="1080"/>
        <w:gridCol w:w="3955"/>
        <w:gridCol w:w="2615"/>
      </w:tblGrid>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rsidP="006626CA">
            <w:pPr>
              <w:pStyle w:val="ListParagraph"/>
              <w:spacing w:line="360" w:lineRule="auto"/>
              <w:ind w:left="0"/>
              <w:jc w:val="center"/>
              <w:rPr>
                <w:rFonts w:ascii="Times New Roman" w:hAnsi="Times New Roman" w:cs="Times New Roman"/>
                <w:b/>
                <w:i/>
                <w:sz w:val="28"/>
                <w:szCs w:val="28"/>
              </w:rPr>
            </w:pPr>
            <w:r>
              <w:rPr>
                <w:rFonts w:ascii="Times New Roman" w:hAnsi="Times New Roman" w:cs="Times New Roman"/>
                <w:b/>
                <w:i/>
                <w:sz w:val="28"/>
                <w:szCs w:val="28"/>
              </w:rPr>
              <w:t>S. No.</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rsidP="006626CA">
            <w:pPr>
              <w:pStyle w:val="ListParagraph"/>
              <w:spacing w:line="360" w:lineRule="auto"/>
              <w:ind w:left="0"/>
              <w:jc w:val="center"/>
              <w:rPr>
                <w:rFonts w:ascii="Times New Roman" w:hAnsi="Times New Roman" w:cs="Times New Roman"/>
                <w:b/>
                <w:i/>
                <w:sz w:val="28"/>
                <w:szCs w:val="28"/>
              </w:rPr>
            </w:pPr>
            <w:r>
              <w:rPr>
                <w:rFonts w:ascii="Times New Roman" w:hAnsi="Times New Roman" w:cs="Times New Roman"/>
                <w:b/>
                <w:i/>
                <w:sz w:val="28"/>
                <w:szCs w:val="28"/>
              </w:rPr>
              <w:t>Period</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rsidP="006626CA">
            <w:pPr>
              <w:pStyle w:val="ListParagraph"/>
              <w:spacing w:line="360" w:lineRule="auto"/>
              <w:ind w:left="0"/>
              <w:jc w:val="center"/>
              <w:rPr>
                <w:rFonts w:ascii="Times New Roman" w:hAnsi="Times New Roman" w:cs="Times New Roman"/>
                <w:b/>
                <w:i/>
                <w:sz w:val="28"/>
                <w:szCs w:val="28"/>
              </w:rPr>
            </w:pPr>
            <w:r>
              <w:rPr>
                <w:rFonts w:ascii="Times New Roman" w:hAnsi="Times New Roman" w:cs="Times New Roman"/>
                <w:b/>
                <w:i/>
                <w:sz w:val="28"/>
                <w:szCs w:val="28"/>
              </w:rPr>
              <w:t>Amounts in INR</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1</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01.04.2015 to 30.06.2015</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0.00</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2</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01.07.2015 to 30.09.2015</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0.00</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3</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01.10.2015 to 31.12.2015</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0.00</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4</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01.01.2016 to 09 31.03.2016</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64</w:t>
            </w:r>
            <w:r w:rsidR="002F2136">
              <w:rPr>
                <w:rFonts w:ascii="Times New Roman" w:hAnsi="Times New Roman" w:cs="Times New Roman"/>
                <w:i/>
                <w:sz w:val="28"/>
                <w:szCs w:val="28"/>
              </w:rPr>
              <w:t>,</w:t>
            </w:r>
            <w:r>
              <w:rPr>
                <w:rFonts w:ascii="Times New Roman" w:hAnsi="Times New Roman" w:cs="Times New Roman"/>
                <w:i/>
                <w:sz w:val="28"/>
                <w:szCs w:val="28"/>
              </w:rPr>
              <w:t>67</w:t>
            </w:r>
            <w:r w:rsidR="002F2136">
              <w:rPr>
                <w:rFonts w:ascii="Times New Roman" w:hAnsi="Times New Roman" w:cs="Times New Roman"/>
                <w:i/>
                <w:sz w:val="28"/>
                <w:szCs w:val="28"/>
              </w:rPr>
              <w:t>,</w:t>
            </w:r>
            <w:r>
              <w:rPr>
                <w:rFonts w:ascii="Times New Roman" w:hAnsi="Times New Roman" w:cs="Times New Roman"/>
                <w:i/>
                <w:sz w:val="28"/>
                <w:szCs w:val="28"/>
              </w:rPr>
              <w:t>456.00</w:t>
            </w:r>
          </w:p>
        </w:tc>
      </w:tr>
    </w:tbl>
    <w:p w:rsidR="00A317D9" w:rsidRDefault="00A317D9" w:rsidP="00BC7CBD">
      <w:pPr>
        <w:pStyle w:val="ListParagraph"/>
        <w:spacing w:line="360" w:lineRule="auto"/>
        <w:ind w:left="0"/>
        <w:jc w:val="both"/>
        <w:rPr>
          <w:rFonts w:ascii="Times New Roman" w:hAnsi="Times New Roman" w:cs="Times New Roman"/>
          <w:b/>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2016-17</w:t>
      </w:r>
    </w:p>
    <w:tbl>
      <w:tblPr>
        <w:tblStyle w:val="TableGrid"/>
        <w:tblW w:w="0" w:type="auto"/>
        <w:tblInd w:w="648" w:type="dxa"/>
        <w:tblLook w:val="04A0"/>
      </w:tblPr>
      <w:tblGrid>
        <w:gridCol w:w="1080"/>
        <w:gridCol w:w="3955"/>
        <w:gridCol w:w="2615"/>
      </w:tblGrid>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S. No.</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Period</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Amounts in INR</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1</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01.04.2016 to 30.06.2016</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84,45,609.00</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2</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01.07.2016 to 30.09.2016</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71,62,481.00</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3</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01.10.2016 to 31.12.2016</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16,32,300.00</w:t>
            </w:r>
          </w:p>
        </w:tc>
      </w:tr>
      <w:tr w:rsidR="00A317D9" w:rsidTr="00A317D9">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4</w:t>
            </w:r>
          </w:p>
        </w:tc>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01.01.2017 to 31.03.2017</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7D9" w:rsidRDefault="00A317D9">
            <w:pPr>
              <w:pStyle w:val="ListParagraph"/>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1,13,86,538.00</w:t>
            </w:r>
          </w:p>
        </w:tc>
      </w:tr>
    </w:tbl>
    <w:p w:rsidR="00A317D9" w:rsidRDefault="00A317D9" w:rsidP="00A317D9">
      <w:pPr>
        <w:pStyle w:val="ListParagraph"/>
        <w:spacing w:line="360" w:lineRule="auto"/>
        <w:ind w:left="0" w:firstLine="720"/>
        <w:jc w:val="both"/>
        <w:rPr>
          <w:rFonts w:ascii="Times New Roman" w:hAnsi="Times New Roman" w:cs="Times New Roman"/>
          <w:i/>
          <w:sz w:val="28"/>
          <w:szCs w:val="28"/>
        </w:rPr>
      </w:pPr>
    </w:p>
    <w:p w:rsidR="00A317D9" w:rsidRDefault="00A317D9" w:rsidP="00A317D9">
      <w:pPr>
        <w:pStyle w:val="ListParagraph"/>
        <w:spacing w:line="480" w:lineRule="auto"/>
        <w:ind w:left="0" w:firstLine="360"/>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I observe that the Respondent could not disprove to the contention of the PC about non-maintenance of Energy Variation Register as required and simply stated  that the consumption of the previous billing period was always mentioned in the current bill.  In my view, this reply is not convincing as the Register ibid is required to be maintained to enable the Respondent to keep a watch on significant energy variations and take corrective action, where necessary.  </w:t>
      </w:r>
      <w:r>
        <w:rPr>
          <w:rFonts w:ascii="Times New Roman" w:hAnsi="Times New Roman" w:cs="Times New Roman"/>
          <w:b/>
          <w:i/>
          <w:sz w:val="28"/>
          <w:szCs w:val="28"/>
        </w:rPr>
        <w:t xml:space="preserve">Besides, </w:t>
      </w:r>
      <w:r w:rsidR="00E63AA8">
        <w:rPr>
          <w:rFonts w:ascii="Times New Roman" w:hAnsi="Times New Roman" w:cs="Times New Roman"/>
          <w:b/>
          <w:i/>
          <w:sz w:val="28"/>
          <w:szCs w:val="28"/>
        </w:rPr>
        <w:t>with</w:t>
      </w:r>
      <w:r w:rsidR="00287C2B">
        <w:rPr>
          <w:rFonts w:ascii="Times New Roman" w:hAnsi="Times New Roman" w:cs="Times New Roman"/>
          <w:b/>
          <w:i/>
          <w:sz w:val="28"/>
          <w:szCs w:val="28"/>
        </w:rPr>
        <w:t xml:space="preserve"> </w:t>
      </w:r>
      <w:r>
        <w:rPr>
          <w:rFonts w:ascii="Times New Roman" w:hAnsi="Times New Roman" w:cs="Times New Roman"/>
          <w:b/>
          <w:i/>
          <w:sz w:val="28"/>
          <w:szCs w:val="28"/>
        </w:rPr>
        <w:t>the SAP System in vogue, the details of energy  recorded in respect of all the electricity connections are readily available with the Additional Superintending Engineers/Senior Executive Engineers for monitoring variations in consumption of the connections within their respective jurisdiction and taking corrective action wherever required.  Had this been done, the variations in consumption could have been noticed in time</w:t>
      </w:r>
      <w:r w:rsidR="00E63AA8">
        <w:rPr>
          <w:rFonts w:ascii="Times New Roman" w:hAnsi="Times New Roman" w:cs="Times New Roman"/>
          <w:b/>
          <w:i/>
          <w:sz w:val="28"/>
          <w:szCs w:val="28"/>
        </w:rPr>
        <w:t xml:space="preserve"> and</w:t>
      </w:r>
      <w:r>
        <w:rPr>
          <w:rFonts w:ascii="Times New Roman" w:hAnsi="Times New Roman" w:cs="Times New Roman"/>
          <w:b/>
          <w:i/>
          <w:sz w:val="28"/>
          <w:szCs w:val="28"/>
        </w:rPr>
        <w:t xml:space="preserve"> appropriate action in the matter could have been taken and cause of action would not have arisen. </w:t>
      </w:r>
      <w:r w:rsidR="00D612FA">
        <w:rPr>
          <w:rFonts w:ascii="Times New Roman" w:hAnsi="Times New Roman" w:cs="Times New Roman"/>
          <w:b/>
          <w:i/>
          <w:sz w:val="28"/>
          <w:szCs w:val="28"/>
        </w:rPr>
        <w:t xml:space="preserve"> </w:t>
      </w:r>
      <w:r w:rsidR="00252682">
        <w:rPr>
          <w:rFonts w:ascii="Times New Roman" w:hAnsi="Times New Roman" w:cs="Times New Roman"/>
          <w:b/>
          <w:i/>
          <w:sz w:val="28"/>
          <w:szCs w:val="28"/>
        </w:rPr>
        <w:t xml:space="preserve">However, the certificate </w:t>
      </w:r>
      <w:r w:rsidR="00E559E0">
        <w:rPr>
          <w:rFonts w:ascii="Times New Roman" w:hAnsi="Times New Roman" w:cs="Times New Roman"/>
          <w:b/>
          <w:i/>
          <w:sz w:val="28"/>
          <w:szCs w:val="28"/>
        </w:rPr>
        <w:t xml:space="preserve">submitted by the </w:t>
      </w:r>
      <w:r w:rsidR="00252682">
        <w:rPr>
          <w:rFonts w:ascii="Times New Roman" w:hAnsi="Times New Roman" w:cs="Times New Roman"/>
          <w:b/>
          <w:i/>
          <w:sz w:val="28"/>
          <w:szCs w:val="28"/>
        </w:rPr>
        <w:t xml:space="preserve"> PC is not from a Government Agency and issued by </w:t>
      </w:r>
      <w:r w:rsidR="00E559E0">
        <w:rPr>
          <w:rFonts w:ascii="Times New Roman" w:hAnsi="Times New Roman" w:cs="Times New Roman"/>
          <w:b/>
          <w:i/>
          <w:sz w:val="28"/>
          <w:szCs w:val="28"/>
        </w:rPr>
        <w:t>the Chartered Accountant who has certified the declaration ma</w:t>
      </w:r>
      <w:r w:rsidR="00CD665B">
        <w:rPr>
          <w:rFonts w:ascii="Times New Roman" w:hAnsi="Times New Roman" w:cs="Times New Roman"/>
          <w:b/>
          <w:i/>
          <w:sz w:val="28"/>
          <w:szCs w:val="28"/>
        </w:rPr>
        <w:t>d</w:t>
      </w:r>
      <w:r w:rsidR="00E559E0">
        <w:rPr>
          <w:rFonts w:ascii="Times New Roman" w:hAnsi="Times New Roman" w:cs="Times New Roman"/>
          <w:b/>
          <w:i/>
          <w:sz w:val="28"/>
          <w:szCs w:val="28"/>
        </w:rPr>
        <w:t xml:space="preserve">e by the </w:t>
      </w:r>
      <w:r w:rsidR="00CD665B">
        <w:rPr>
          <w:rFonts w:ascii="Times New Roman" w:hAnsi="Times New Roman" w:cs="Times New Roman"/>
          <w:b/>
          <w:i/>
          <w:sz w:val="28"/>
          <w:szCs w:val="28"/>
        </w:rPr>
        <w:t>P</w:t>
      </w:r>
      <w:r w:rsidR="00E559E0">
        <w:rPr>
          <w:rFonts w:ascii="Times New Roman" w:hAnsi="Times New Roman" w:cs="Times New Roman"/>
          <w:b/>
          <w:i/>
          <w:sz w:val="28"/>
          <w:szCs w:val="28"/>
        </w:rPr>
        <w:t>etitioner regarding purchases of finished goods against  ‘H’ form for the years 2015-16 and 2016-17.</w:t>
      </w:r>
    </w:p>
    <w:p w:rsidR="00AA2613" w:rsidRPr="00CA34A4" w:rsidRDefault="00252682" w:rsidP="00CA34A4">
      <w:pPr>
        <w:pStyle w:val="ListParagraph"/>
        <w:numPr>
          <w:ilvl w:val="0"/>
          <w:numId w:val="13"/>
        </w:numPr>
        <w:spacing w:line="480" w:lineRule="auto"/>
        <w:ind w:left="810" w:hanging="630"/>
        <w:jc w:val="both"/>
        <w:rPr>
          <w:rFonts w:ascii="Times New Roman" w:hAnsi="Times New Roman" w:cs="Times New Roman"/>
          <w:sz w:val="28"/>
          <w:szCs w:val="28"/>
        </w:rPr>
      </w:pPr>
      <w:r w:rsidRPr="00CA34A4">
        <w:rPr>
          <w:rFonts w:ascii="Times New Roman" w:hAnsi="Times New Roman" w:cs="Times New Roman"/>
          <w:sz w:val="28"/>
          <w:szCs w:val="28"/>
        </w:rPr>
        <w:t xml:space="preserve">a) </w:t>
      </w:r>
      <w:r w:rsidR="008B7B0C" w:rsidRPr="00CA34A4">
        <w:rPr>
          <w:rFonts w:ascii="Times New Roman" w:hAnsi="Times New Roman" w:cs="Times New Roman"/>
          <w:sz w:val="28"/>
          <w:szCs w:val="28"/>
        </w:rPr>
        <w:t>PC also argued that</w:t>
      </w:r>
      <w:r w:rsidR="0078193B" w:rsidRPr="00CA34A4">
        <w:rPr>
          <w:rFonts w:ascii="Times New Roman" w:hAnsi="Times New Roman" w:cs="Times New Roman"/>
          <w:sz w:val="28"/>
          <w:szCs w:val="28"/>
        </w:rPr>
        <w:t xml:space="preserve"> as per provisions contained in</w:t>
      </w:r>
      <w:r w:rsidR="0078193B" w:rsidRPr="00CA34A4">
        <w:rPr>
          <w:rFonts w:ascii="Times New Roman" w:hAnsi="Times New Roman" w:cs="Times New Roman"/>
          <w:sz w:val="28"/>
          <w:szCs w:val="28"/>
        </w:rPr>
        <w:tab/>
        <w:t>Instru</w:t>
      </w:r>
      <w:r w:rsidR="00585665" w:rsidRPr="00CA34A4">
        <w:rPr>
          <w:rFonts w:ascii="Times New Roman" w:hAnsi="Times New Roman" w:cs="Times New Roman"/>
          <w:sz w:val="28"/>
          <w:szCs w:val="28"/>
        </w:rPr>
        <w:t>c</w:t>
      </w:r>
      <w:r w:rsidR="0078193B" w:rsidRPr="00CA34A4">
        <w:rPr>
          <w:rFonts w:ascii="Times New Roman" w:hAnsi="Times New Roman" w:cs="Times New Roman"/>
          <w:sz w:val="28"/>
          <w:szCs w:val="28"/>
        </w:rPr>
        <w:t>tions</w:t>
      </w:r>
      <w:r w:rsidR="00585665" w:rsidRPr="00CA34A4">
        <w:rPr>
          <w:rFonts w:ascii="Times New Roman" w:hAnsi="Times New Roman" w:cs="Times New Roman"/>
          <w:sz w:val="28"/>
          <w:szCs w:val="28"/>
        </w:rPr>
        <w:t xml:space="preserve"> No. 51.1 of</w:t>
      </w:r>
      <w:r w:rsidR="006C3706" w:rsidRPr="00CA34A4">
        <w:rPr>
          <w:rFonts w:ascii="Times New Roman" w:hAnsi="Times New Roman" w:cs="Times New Roman"/>
          <w:sz w:val="28"/>
          <w:szCs w:val="28"/>
        </w:rPr>
        <w:t xml:space="preserve"> </w:t>
      </w:r>
      <w:r w:rsidR="00585665" w:rsidRPr="00CA34A4">
        <w:rPr>
          <w:rFonts w:ascii="Times New Roman" w:hAnsi="Times New Roman" w:cs="Times New Roman"/>
          <w:sz w:val="28"/>
          <w:szCs w:val="28"/>
        </w:rPr>
        <w:t xml:space="preserve"> ESIM, it was </w:t>
      </w:r>
      <w:r w:rsidR="006C3706" w:rsidRPr="00CA34A4">
        <w:rPr>
          <w:rFonts w:ascii="Times New Roman" w:hAnsi="Times New Roman" w:cs="Times New Roman"/>
          <w:sz w:val="28"/>
          <w:szCs w:val="28"/>
        </w:rPr>
        <w:t xml:space="preserve"> </w:t>
      </w:r>
      <w:r w:rsidR="005C38DB" w:rsidRPr="00CA34A4">
        <w:rPr>
          <w:rFonts w:ascii="Times New Roman" w:hAnsi="Times New Roman" w:cs="Times New Roman"/>
          <w:sz w:val="28"/>
          <w:szCs w:val="28"/>
        </w:rPr>
        <w:t xml:space="preserve">the </w:t>
      </w:r>
      <w:r w:rsidR="00585665" w:rsidRPr="00CA34A4">
        <w:rPr>
          <w:rFonts w:ascii="Times New Roman" w:hAnsi="Times New Roman" w:cs="Times New Roman"/>
          <w:sz w:val="28"/>
          <w:szCs w:val="28"/>
        </w:rPr>
        <w:t>responsibility of</w:t>
      </w:r>
      <w:r w:rsidR="004A6948" w:rsidRPr="00CA34A4">
        <w:rPr>
          <w:rFonts w:ascii="Times New Roman" w:hAnsi="Times New Roman" w:cs="Times New Roman"/>
          <w:sz w:val="28"/>
          <w:szCs w:val="28"/>
        </w:rPr>
        <w:lastRenderedPageBreak/>
        <w:tab/>
      </w:r>
      <w:r w:rsidR="00585665" w:rsidRPr="00CA34A4">
        <w:rPr>
          <w:rFonts w:ascii="Times New Roman" w:hAnsi="Times New Roman" w:cs="Times New Roman"/>
          <w:sz w:val="28"/>
          <w:szCs w:val="28"/>
        </w:rPr>
        <w:t>the Corporation to install a correct</w:t>
      </w:r>
      <w:r w:rsidR="005C38DB" w:rsidRPr="00CA34A4">
        <w:rPr>
          <w:rFonts w:ascii="Times New Roman" w:hAnsi="Times New Roman" w:cs="Times New Roman"/>
          <w:sz w:val="28"/>
          <w:szCs w:val="28"/>
        </w:rPr>
        <w:t xml:space="preserve"> Energy</w:t>
      </w:r>
      <w:r w:rsidR="00976AA1" w:rsidRPr="00CA34A4">
        <w:rPr>
          <w:rFonts w:ascii="Times New Roman" w:hAnsi="Times New Roman" w:cs="Times New Roman"/>
          <w:sz w:val="28"/>
          <w:szCs w:val="28"/>
        </w:rPr>
        <w:t xml:space="preserve"> Meter of</w:t>
      </w:r>
      <w:r w:rsidR="00976AA1" w:rsidRPr="00CA34A4">
        <w:rPr>
          <w:rFonts w:ascii="Times New Roman" w:hAnsi="Times New Roman" w:cs="Times New Roman"/>
          <w:sz w:val="28"/>
          <w:szCs w:val="28"/>
        </w:rPr>
        <w:tab/>
        <w:t>s</w:t>
      </w:r>
      <w:r w:rsidR="00585665" w:rsidRPr="00CA34A4">
        <w:rPr>
          <w:rFonts w:ascii="Times New Roman" w:hAnsi="Times New Roman" w:cs="Times New Roman"/>
          <w:sz w:val="28"/>
          <w:szCs w:val="28"/>
        </w:rPr>
        <w:t>uitable capacity.  The Petitioner</w:t>
      </w:r>
      <w:r w:rsidR="00806FEE" w:rsidRPr="00CA34A4">
        <w:rPr>
          <w:rFonts w:ascii="Times New Roman" w:hAnsi="Times New Roman" w:cs="Times New Roman"/>
          <w:sz w:val="28"/>
          <w:szCs w:val="28"/>
        </w:rPr>
        <w:t xml:space="preserve"> </w:t>
      </w:r>
      <w:r w:rsidR="002B5FA5" w:rsidRPr="00CA34A4">
        <w:rPr>
          <w:rFonts w:ascii="Times New Roman" w:hAnsi="Times New Roman" w:cs="Times New Roman"/>
          <w:sz w:val="28"/>
          <w:szCs w:val="28"/>
        </w:rPr>
        <w:t xml:space="preserve">never </w:t>
      </w:r>
      <w:r w:rsidR="00585665" w:rsidRPr="00CA34A4">
        <w:rPr>
          <w:rFonts w:ascii="Times New Roman" w:hAnsi="Times New Roman" w:cs="Times New Roman"/>
          <w:sz w:val="28"/>
          <w:szCs w:val="28"/>
        </w:rPr>
        <w:t>interfered with</w:t>
      </w:r>
      <w:r w:rsidR="006C3706" w:rsidRPr="00CA34A4">
        <w:rPr>
          <w:rFonts w:ascii="Times New Roman" w:hAnsi="Times New Roman" w:cs="Times New Roman"/>
          <w:sz w:val="28"/>
          <w:szCs w:val="28"/>
        </w:rPr>
        <w:t xml:space="preserve"> the</w:t>
      </w:r>
      <w:r w:rsidR="008464E0" w:rsidRPr="00CA34A4">
        <w:rPr>
          <w:rFonts w:ascii="Times New Roman" w:hAnsi="Times New Roman" w:cs="Times New Roman"/>
          <w:sz w:val="28"/>
          <w:szCs w:val="28"/>
        </w:rPr>
        <w:tab/>
      </w:r>
      <w:r w:rsidR="00585665" w:rsidRPr="00CA34A4">
        <w:rPr>
          <w:rFonts w:ascii="Times New Roman" w:hAnsi="Times New Roman" w:cs="Times New Roman"/>
          <w:sz w:val="28"/>
          <w:szCs w:val="28"/>
        </w:rPr>
        <w:t>Energy Meter or its</w:t>
      </w:r>
      <w:r w:rsidR="00976AA1" w:rsidRPr="00CA34A4">
        <w:rPr>
          <w:rFonts w:ascii="Times New Roman" w:hAnsi="Times New Roman" w:cs="Times New Roman"/>
          <w:sz w:val="28"/>
          <w:szCs w:val="28"/>
        </w:rPr>
        <w:t xml:space="preserve"> </w:t>
      </w:r>
      <w:r w:rsidR="00585665" w:rsidRPr="00CA34A4">
        <w:rPr>
          <w:rFonts w:ascii="Times New Roman" w:hAnsi="Times New Roman" w:cs="Times New Roman"/>
          <w:sz w:val="28"/>
          <w:szCs w:val="28"/>
        </w:rPr>
        <w:t>connection and there is no</w:t>
      </w:r>
      <w:r w:rsidR="008464E0" w:rsidRPr="00CA34A4">
        <w:rPr>
          <w:rFonts w:ascii="Times New Roman" w:hAnsi="Times New Roman" w:cs="Times New Roman"/>
          <w:sz w:val="28"/>
          <w:szCs w:val="28"/>
        </w:rPr>
        <w:tab/>
      </w:r>
      <w:r w:rsidR="00585665" w:rsidRPr="00CA34A4">
        <w:rPr>
          <w:rFonts w:ascii="Times New Roman" w:hAnsi="Times New Roman" w:cs="Times New Roman"/>
          <w:sz w:val="28"/>
          <w:szCs w:val="28"/>
        </w:rPr>
        <w:t>allegation, as such, against</w:t>
      </w:r>
      <w:r w:rsidR="00CE21AD" w:rsidRPr="00CA34A4">
        <w:rPr>
          <w:rFonts w:ascii="Times New Roman" w:hAnsi="Times New Roman" w:cs="Times New Roman"/>
          <w:sz w:val="28"/>
          <w:szCs w:val="28"/>
        </w:rPr>
        <w:t xml:space="preserve"> the Petitioner.</w:t>
      </w:r>
      <w:r w:rsidR="00D241A7" w:rsidRPr="00CA34A4">
        <w:rPr>
          <w:rFonts w:ascii="Times New Roman" w:hAnsi="Times New Roman" w:cs="Times New Roman"/>
          <w:sz w:val="28"/>
          <w:szCs w:val="28"/>
        </w:rPr>
        <w:tab/>
      </w:r>
    </w:p>
    <w:p w:rsidR="00D241A7" w:rsidRDefault="00D241A7" w:rsidP="00CE3EA7">
      <w:pPr>
        <w:pStyle w:val="ListParagraph"/>
        <w:spacing w:line="480" w:lineRule="auto"/>
        <w:ind w:left="1080" w:firstLine="720"/>
        <w:jc w:val="both"/>
        <w:rPr>
          <w:rFonts w:ascii="Times New Roman" w:hAnsi="Times New Roman" w:cs="Times New Roman"/>
          <w:sz w:val="28"/>
          <w:szCs w:val="28"/>
        </w:rPr>
      </w:pPr>
      <w:r>
        <w:rPr>
          <w:rFonts w:ascii="Times New Roman" w:hAnsi="Times New Roman" w:cs="Times New Roman"/>
          <w:sz w:val="28"/>
          <w:szCs w:val="28"/>
        </w:rPr>
        <w:t>The Respondent, in its defence, stated that the PSPCL had installed correct Energy Meter but due to carbonization, Potential</w:t>
      </w:r>
      <w:r w:rsidR="00543BD4">
        <w:rPr>
          <w:rFonts w:ascii="Times New Roman" w:hAnsi="Times New Roman" w:cs="Times New Roman"/>
          <w:sz w:val="28"/>
          <w:szCs w:val="28"/>
        </w:rPr>
        <w:t>s</w:t>
      </w:r>
      <w:r>
        <w:rPr>
          <w:rFonts w:ascii="Times New Roman" w:hAnsi="Times New Roman" w:cs="Times New Roman"/>
          <w:sz w:val="28"/>
          <w:szCs w:val="28"/>
        </w:rPr>
        <w:t xml:space="preserve"> of Red and Yellow Phases did not contribute to the Energy Meter during the period under dispute.</w:t>
      </w:r>
    </w:p>
    <w:p w:rsidR="00A317D9" w:rsidRPr="00E97415" w:rsidRDefault="00A317D9" w:rsidP="00535B15">
      <w:pPr>
        <w:pStyle w:val="ListParagraph"/>
        <w:numPr>
          <w:ilvl w:val="0"/>
          <w:numId w:val="8"/>
        </w:numPr>
        <w:spacing w:line="480" w:lineRule="auto"/>
        <w:ind w:left="1080" w:hanging="540"/>
        <w:jc w:val="both"/>
        <w:rPr>
          <w:rFonts w:ascii="Times New Roman" w:hAnsi="Times New Roman" w:cs="Times New Roman"/>
          <w:sz w:val="28"/>
          <w:szCs w:val="28"/>
        </w:rPr>
      </w:pPr>
      <w:r w:rsidRPr="00E97415">
        <w:rPr>
          <w:rFonts w:ascii="Times New Roman" w:hAnsi="Times New Roman" w:cs="Times New Roman"/>
          <w:sz w:val="28"/>
          <w:szCs w:val="28"/>
        </w:rPr>
        <w:t>PC also referred to the provisions contained in Regulation 21.3 of Supply Code-2014 and Instruction No. 104.1 of ESIM 2010 requiring the Licensee to conduct periodical checking/testing of connections installed at consumer’s premises.  But there was nothing on record to confirm as to whether the prescribed checking was actually done periodically.  The Respondent was also required to place on record calibration report of Reference Meter, if any, with which</w:t>
      </w:r>
      <w:r w:rsidR="00543BD4">
        <w:rPr>
          <w:rFonts w:ascii="Times New Roman" w:hAnsi="Times New Roman" w:cs="Times New Roman"/>
          <w:sz w:val="28"/>
          <w:szCs w:val="28"/>
        </w:rPr>
        <w:t>,</w:t>
      </w:r>
      <w:r w:rsidRPr="00E97415">
        <w:rPr>
          <w:rFonts w:ascii="Times New Roman" w:hAnsi="Times New Roman" w:cs="Times New Roman"/>
          <w:sz w:val="28"/>
          <w:szCs w:val="28"/>
        </w:rPr>
        <w:t xml:space="preserve"> accuracy of the metering equipment was checked.</w:t>
      </w:r>
    </w:p>
    <w:p w:rsidR="00A317D9" w:rsidRDefault="00A317D9" w:rsidP="00E16CD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 in its reply, submitted that previous checking of this connection was done on 27.01.2015 vide ECR No. 09/2278 by the Addl. S.E, Enforcement-2, Jalandhar and thereafter, no  details about checking of the connection by the competent authority was available on record.</w:t>
      </w:r>
    </w:p>
    <w:p w:rsidR="00A317D9" w:rsidRDefault="00A317D9" w:rsidP="00A317D9">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lastRenderedPageBreak/>
        <w:t>I observe that the Forum, vide its order dated 16.08.2017 in this case, directed the S.E/DS Circle, Jalandhar to initiate disciplinary action against the delinquent officers/officials who failed to check the connection of the Petitioner as per Instruction No. 104.1 of ESIM-2010.</w:t>
      </w:r>
    </w:p>
    <w:p w:rsidR="00A317D9" w:rsidRPr="00C91BFF" w:rsidRDefault="00A317D9" w:rsidP="00C91BFF">
      <w:pPr>
        <w:pStyle w:val="ListParagraph"/>
        <w:numPr>
          <w:ilvl w:val="0"/>
          <w:numId w:val="7"/>
        </w:numPr>
        <w:spacing w:line="480" w:lineRule="auto"/>
        <w:jc w:val="both"/>
        <w:rPr>
          <w:rFonts w:ascii="Times New Roman" w:hAnsi="Times New Roman" w:cs="Times New Roman"/>
          <w:sz w:val="28"/>
          <w:szCs w:val="28"/>
        </w:rPr>
      </w:pPr>
      <w:r w:rsidRPr="00C91BFF">
        <w:rPr>
          <w:rFonts w:ascii="Times New Roman" w:hAnsi="Times New Roman" w:cs="Times New Roman"/>
          <w:sz w:val="28"/>
          <w:szCs w:val="28"/>
        </w:rPr>
        <w:t xml:space="preserve">PC further argued that the speaking orders conveyed by the </w:t>
      </w:r>
      <w:r w:rsidR="00830FF4">
        <w:rPr>
          <w:rFonts w:ascii="Times New Roman" w:hAnsi="Times New Roman" w:cs="Times New Roman"/>
          <w:sz w:val="28"/>
          <w:szCs w:val="28"/>
        </w:rPr>
        <w:t xml:space="preserve">            </w:t>
      </w:r>
      <w:r w:rsidRPr="00C91BFF">
        <w:rPr>
          <w:rFonts w:ascii="Times New Roman" w:hAnsi="Times New Roman" w:cs="Times New Roman"/>
          <w:sz w:val="28"/>
          <w:szCs w:val="28"/>
        </w:rPr>
        <w:t>Sr. XEN/Enforcement, PSPCL, Moga, vide e-mail dated 15.05.2017 after checking of another connection in the name of the Petitioner vide ECR No. 30/2023 dated 12.05.2017, declaring it a  Unauthorized use of Electricity (UUE) case was not correct  since, Sr. XEN, Enforcement was not an Assessing Officer.  The Govt. of Punjab had declared Assessing Officers vide notification dated 27.12.2004, as detailed in Annexure-9 of Supply Code-2014.  The Respondent had not followed the procedure, prescribed in Regulation 36 of Supply Code-2014, for declaration of the case of Unauthorized Use of Electricity (UUE).  PC added that the calculations for Rs. 56,546/- made in the notice issued, vide memo no. 2068 dated 18.05.2017, were also incorrect.</w:t>
      </w:r>
      <w:r w:rsidRPr="00C91BFF">
        <w:rPr>
          <w:rFonts w:ascii="Times New Roman" w:hAnsi="Times New Roman" w:cs="Times New Roman"/>
          <w:sz w:val="28"/>
          <w:szCs w:val="28"/>
        </w:rPr>
        <w:tab/>
      </w:r>
    </w:p>
    <w:p w:rsidR="00A317D9" w:rsidRPr="0036507F" w:rsidRDefault="00A317D9" w:rsidP="00A317D9">
      <w:pPr>
        <w:spacing w:line="480" w:lineRule="auto"/>
        <w:ind w:firstLine="360"/>
        <w:jc w:val="both"/>
        <w:rPr>
          <w:rFonts w:ascii="Times New Roman" w:hAnsi="Times New Roman" w:cs="Times New Roman"/>
          <w:i/>
          <w:sz w:val="28"/>
          <w:szCs w:val="28"/>
        </w:rPr>
      </w:pPr>
      <w:r w:rsidRPr="0036507F">
        <w:rPr>
          <w:rFonts w:ascii="Times New Roman" w:hAnsi="Times New Roman" w:cs="Times New Roman"/>
          <w:i/>
          <w:sz w:val="28"/>
          <w:szCs w:val="28"/>
        </w:rPr>
        <w:t xml:space="preserve">I observe from the material placed on record that two more connections, running in the name of the Petitioner, were also checked by the Enforcement. One connection, bearing Account  No. J62GT62 / 559 </w:t>
      </w:r>
      <w:r w:rsidRPr="0036507F">
        <w:rPr>
          <w:rFonts w:ascii="Times New Roman" w:hAnsi="Times New Roman" w:cs="Times New Roman"/>
          <w:i/>
          <w:sz w:val="28"/>
          <w:szCs w:val="28"/>
        </w:rPr>
        <w:lastRenderedPageBreak/>
        <w:t xml:space="preserve">of NRS category with Sanctioned Load of 19.620kW, was being used for Industrial purpose.  So, it was a case of UUE and the Respondent had taken action and charged Rs. 56,546/- which was deposited by the Petitioner who also got the connection permanently disconnected.  Another connection was also running in the same premises.  I find that the Forum had already directed </w:t>
      </w:r>
      <w:r w:rsidR="00543BD4">
        <w:rPr>
          <w:rFonts w:ascii="Times New Roman" w:hAnsi="Times New Roman" w:cs="Times New Roman"/>
          <w:i/>
          <w:sz w:val="28"/>
          <w:szCs w:val="28"/>
        </w:rPr>
        <w:t xml:space="preserve">the </w:t>
      </w:r>
      <w:r w:rsidRPr="0036507F">
        <w:rPr>
          <w:rFonts w:ascii="Times New Roman" w:hAnsi="Times New Roman" w:cs="Times New Roman"/>
          <w:i/>
          <w:sz w:val="28"/>
          <w:szCs w:val="28"/>
        </w:rPr>
        <w:t>Respondent to club both the connections and this fact was confirmed, during oral arguments on 22.02.2018 by the Respondent who stated that both the connections had been clubbed.</w:t>
      </w:r>
    </w:p>
    <w:p w:rsidR="00A317D9" w:rsidRDefault="00A317D9" w:rsidP="00A317D9">
      <w:pPr>
        <w:spacing w:line="480" w:lineRule="auto"/>
        <w:jc w:val="both"/>
        <w:rPr>
          <w:rFonts w:ascii="Times New Roman" w:hAnsi="Times New Roman" w:cs="Times New Roman"/>
          <w:b/>
          <w:sz w:val="28"/>
          <w:szCs w:val="28"/>
        </w:rPr>
      </w:pPr>
      <w:r w:rsidRPr="00700677">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 xml:space="preserve"> Decision</w:t>
      </w:r>
    </w:p>
    <w:p w:rsidR="00A317D9" w:rsidRDefault="00A317D9" w:rsidP="00A317D9">
      <w:pPr>
        <w:spacing w:line="480" w:lineRule="auto"/>
        <w:jc w:val="both"/>
        <w:rPr>
          <w:rFonts w:ascii="Times New Roman" w:hAnsi="Times New Roman" w:cs="Times New Roman"/>
          <w:sz w:val="28"/>
          <w:szCs w:val="28"/>
        </w:rPr>
      </w:pPr>
      <w:r>
        <w:rPr>
          <w:rFonts w:ascii="Times New Roman" w:hAnsi="Times New Roman" w:cs="Times New Roman"/>
          <w:sz w:val="28"/>
          <w:szCs w:val="28"/>
        </w:rPr>
        <w:tab/>
        <w:t>From the above analysis, it proves beyond doubt that the Energy Meter</w:t>
      </w:r>
      <w:r w:rsidR="00200C05">
        <w:rPr>
          <w:rFonts w:ascii="Times New Roman" w:hAnsi="Times New Roman" w:cs="Times New Roman"/>
          <w:sz w:val="28"/>
          <w:szCs w:val="28"/>
        </w:rPr>
        <w:t>’</w:t>
      </w:r>
      <w:r>
        <w:rPr>
          <w:rFonts w:ascii="Times New Roman" w:hAnsi="Times New Roman" w:cs="Times New Roman"/>
          <w:sz w:val="28"/>
          <w:szCs w:val="28"/>
        </w:rPr>
        <w:t>s display was defective and Energy Meter was dead on Red and Yellow Phase</w:t>
      </w:r>
      <w:r w:rsidR="00543BD4">
        <w:rPr>
          <w:rFonts w:ascii="Times New Roman" w:hAnsi="Times New Roman" w:cs="Times New Roman"/>
          <w:sz w:val="28"/>
          <w:szCs w:val="28"/>
        </w:rPr>
        <w:t>s</w:t>
      </w:r>
      <w:r>
        <w:rPr>
          <w:rFonts w:ascii="Times New Roman" w:hAnsi="Times New Roman" w:cs="Times New Roman"/>
          <w:sz w:val="28"/>
          <w:szCs w:val="28"/>
        </w:rPr>
        <w:t>.  As such, this Court is to</w:t>
      </w:r>
      <w:r w:rsidR="00543BD4">
        <w:rPr>
          <w:rFonts w:ascii="Times New Roman" w:hAnsi="Times New Roman" w:cs="Times New Roman"/>
          <w:sz w:val="28"/>
          <w:szCs w:val="28"/>
        </w:rPr>
        <w:t xml:space="preserve"> </w:t>
      </w:r>
      <w:r>
        <w:rPr>
          <w:rFonts w:ascii="Times New Roman" w:hAnsi="Times New Roman" w:cs="Times New Roman"/>
          <w:sz w:val="28"/>
          <w:szCs w:val="28"/>
        </w:rPr>
        <w:t>take recourse to the provisions relevant in this regard i.e. Regulation 21.5.2 of Supply Code-2014, reproduced below, for overhauling the account of the Petitioner in the present case:</w:t>
      </w:r>
    </w:p>
    <w:p w:rsidR="00A317D9" w:rsidRDefault="00A317D9" w:rsidP="00A317D9">
      <w:pPr>
        <w:pStyle w:val="ListParagraph"/>
        <w:spacing w:line="240" w:lineRule="auto"/>
        <w:ind w:left="360"/>
        <w:jc w:val="both"/>
        <w:rPr>
          <w:rFonts w:ascii="Times New Roman" w:hAnsi="Times New Roman" w:cs="Times New Roman"/>
          <w:b/>
          <w:i/>
          <w:sz w:val="28"/>
          <w:szCs w:val="28"/>
          <w:u w:val="single"/>
        </w:rPr>
      </w:pPr>
      <w:r>
        <w:rPr>
          <w:rFonts w:ascii="Times New Roman" w:hAnsi="Times New Roman" w:cs="Times New Roman"/>
          <w:b/>
          <w:i/>
          <w:sz w:val="28"/>
          <w:szCs w:val="28"/>
        </w:rPr>
        <w:t xml:space="preserve">“21.5.2:    </w:t>
      </w:r>
      <w:r>
        <w:rPr>
          <w:rFonts w:ascii="Times New Roman" w:hAnsi="Times New Roman" w:cs="Times New Roman"/>
          <w:b/>
          <w:i/>
          <w:sz w:val="28"/>
          <w:szCs w:val="28"/>
          <w:u w:val="single"/>
        </w:rPr>
        <w:t xml:space="preserve">Defective (other than inaccurate)/Dead </w:t>
      </w:r>
    </w:p>
    <w:p w:rsidR="00A317D9" w:rsidRDefault="00A317D9" w:rsidP="00A317D9">
      <w:pPr>
        <w:pStyle w:val="ListParagraph"/>
        <w:spacing w:line="240" w:lineRule="auto"/>
        <w:ind w:left="153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Stop/Burnt/Stolen Meters:</w:t>
      </w:r>
    </w:p>
    <w:p w:rsidR="00A317D9" w:rsidRDefault="00A317D9" w:rsidP="00A317D9">
      <w:pPr>
        <w:pStyle w:val="ListParagraph"/>
        <w:spacing w:line="240" w:lineRule="auto"/>
        <w:ind w:left="1530" w:firstLine="630"/>
        <w:jc w:val="both"/>
        <w:rPr>
          <w:rFonts w:ascii="Times New Roman" w:hAnsi="Times New Roman" w:cs="Times New Roman"/>
          <w:i/>
          <w:sz w:val="28"/>
          <w:szCs w:val="28"/>
        </w:rPr>
      </w:pPr>
    </w:p>
    <w:p w:rsidR="00A317D9" w:rsidRDefault="00A317D9" w:rsidP="00A317D9">
      <w:pPr>
        <w:pStyle w:val="ListParagraph"/>
        <w:spacing w:line="240" w:lineRule="auto"/>
        <w:ind w:left="360" w:firstLine="630"/>
        <w:jc w:val="both"/>
        <w:rPr>
          <w:rFonts w:ascii="Times New Roman" w:hAnsi="Times New Roman" w:cs="Times New Roman"/>
          <w:i/>
          <w:sz w:val="28"/>
          <w:szCs w:val="28"/>
        </w:rPr>
      </w:pPr>
      <w:r>
        <w:rPr>
          <w:rFonts w:ascii="Times New Roman" w:hAnsi="Times New Roman" w:cs="Times New Roman"/>
          <w:i/>
          <w:sz w:val="28"/>
          <w:szCs w:val="28"/>
        </w:rPr>
        <w:t xml:space="preserve">The accounts of a consumer shall be overhauled/billed for the period meter remained defective/dead stop and in case of burnt/stolen meter for the period of direct supply subject to maximum period of six months as per procedure given below: </w:t>
      </w:r>
    </w:p>
    <w:p w:rsidR="00A317D9" w:rsidRDefault="00A317D9" w:rsidP="00A317D9">
      <w:pPr>
        <w:pStyle w:val="ListParagraph"/>
        <w:spacing w:line="240" w:lineRule="auto"/>
        <w:ind w:left="1530" w:firstLine="630"/>
        <w:jc w:val="both"/>
        <w:rPr>
          <w:rFonts w:ascii="Times New Roman" w:hAnsi="Times New Roman" w:cs="Times New Roman"/>
          <w:i/>
          <w:sz w:val="28"/>
          <w:szCs w:val="28"/>
        </w:rPr>
      </w:pPr>
    </w:p>
    <w:p w:rsidR="00A317D9" w:rsidRDefault="00A317D9" w:rsidP="00A317D9">
      <w:pPr>
        <w:pStyle w:val="ListParagraph"/>
        <w:numPr>
          <w:ilvl w:val="0"/>
          <w:numId w:val="3"/>
        </w:numPr>
        <w:spacing w:line="240" w:lineRule="auto"/>
        <w:ind w:left="1440" w:hanging="1080"/>
        <w:jc w:val="both"/>
        <w:rPr>
          <w:rFonts w:ascii="Times New Roman" w:hAnsi="Times New Roman" w:cs="Times New Roman"/>
          <w:i/>
          <w:sz w:val="28"/>
          <w:szCs w:val="28"/>
        </w:rPr>
      </w:pPr>
      <w:r>
        <w:rPr>
          <w:rFonts w:ascii="Times New Roman" w:hAnsi="Times New Roman" w:cs="Times New Roman"/>
          <w:i/>
          <w:sz w:val="28"/>
          <w:szCs w:val="28"/>
        </w:rPr>
        <w:lastRenderedPageBreak/>
        <w:t>On the basis of energy consumption of corresponding period of previous year.</w:t>
      </w:r>
    </w:p>
    <w:p w:rsidR="00A317D9" w:rsidRDefault="00A317D9" w:rsidP="00A317D9">
      <w:pPr>
        <w:pStyle w:val="ListParagraph"/>
        <w:numPr>
          <w:ilvl w:val="0"/>
          <w:numId w:val="3"/>
        </w:numPr>
        <w:spacing w:line="240" w:lineRule="auto"/>
        <w:ind w:left="1440" w:hanging="1080"/>
        <w:jc w:val="both"/>
        <w:rPr>
          <w:rFonts w:ascii="Times New Roman" w:hAnsi="Times New Roman" w:cs="Times New Roman"/>
          <w:i/>
          <w:sz w:val="28"/>
          <w:szCs w:val="28"/>
        </w:rPr>
      </w:pPr>
      <w:r>
        <w:rPr>
          <w:rFonts w:ascii="Times New Roman" w:hAnsi="Times New Roman" w:cs="Times New Roman"/>
          <w:i/>
          <w:sz w:val="28"/>
          <w:szCs w:val="28"/>
        </w:rPr>
        <w:t>In case the consumption of corresponding period of the previous year as referred in para (a) above is not available, the average monthly consumption of previous six (6) months during which the meter was functional, shall be adopted for overhauling of accounts.</w:t>
      </w:r>
      <w:r>
        <w:rPr>
          <w:rFonts w:ascii="Times New Roman" w:hAnsi="Times New Roman" w:cs="Times New Roman"/>
          <w:i/>
          <w:sz w:val="28"/>
          <w:szCs w:val="28"/>
        </w:rPr>
        <w:tab/>
      </w:r>
    </w:p>
    <w:p w:rsidR="00A317D9" w:rsidRDefault="00A317D9" w:rsidP="00A317D9">
      <w:pPr>
        <w:pStyle w:val="ListParagraph"/>
        <w:numPr>
          <w:ilvl w:val="0"/>
          <w:numId w:val="3"/>
        </w:numPr>
        <w:spacing w:line="240" w:lineRule="auto"/>
        <w:ind w:left="1440" w:hanging="1080"/>
        <w:jc w:val="both"/>
        <w:rPr>
          <w:rFonts w:ascii="Times New Roman" w:hAnsi="Times New Roman" w:cs="Times New Roman"/>
          <w:i/>
          <w:sz w:val="28"/>
          <w:szCs w:val="28"/>
        </w:rPr>
      </w:pPr>
      <w:r>
        <w:rPr>
          <w:rFonts w:ascii="Times New Roman" w:hAnsi="Times New Roman" w:cs="Times New Roman"/>
          <w:i/>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A317D9" w:rsidRDefault="00A317D9" w:rsidP="00A317D9">
      <w:pPr>
        <w:pStyle w:val="ListParagraph"/>
        <w:numPr>
          <w:ilvl w:val="0"/>
          <w:numId w:val="3"/>
        </w:numPr>
        <w:spacing w:line="240" w:lineRule="auto"/>
        <w:ind w:left="1440" w:hanging="1080"/>
        <w:jc w:val="both"/>
        <w:rPr>
          <w:rFonts w:ascii="Times New Roman" w:hAnsi="Times New Roman" w:cs="Times New Roman"/>
          <w:i/>
          <w:sz w:val="28"/>
          <w:szCs w:val="28"/>
        </w:rPr>
      </w:pPr>
      <w:r>
        <w:rPr>
          <w:rFonts w:ascii="Times New Roman" w:hAnsi="Times New Roman" w:cs="Times New Roman"/>
          <w:i/>
          <w:sz w:val="28"/>
          <w:szCs w:val="28"/>
        </w:rPr>
        <w:t>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w:t>
      </w:r>
    </w:p>
    <w:p w:rsidR="00A317D9" w:rsidRDefault="00A317D9" w:rsidP="00A317D9">
      <w:pPr>
        <w:pStyle w:val="ListParagraph"/>
        <w:numPr>
          <w:ilvl w:val="0"/>
          <w:numId w:val="3"/>
        </w:numPr>
        <w:spacing w:line="240" w:lineRule="auto"/>
        <w:ind w:left="1440" w:hanging="1080"/>
        <w:jc w:val="both"/>
        <w:rPr>
          <w:rFonts w:ascii="Times New Roman" w:hAnsi="Times New Roman" w:cs="Times New Roman"/>
          <w:i/>
          <w:sz w:val="28"/>
          <w:szCs w:val="28"/>
        </w:rPr>
      </w:pPr>
      <w:r>
        <w:rPr>
          <w:rFonts w:ascii="Times New Roman" w:hAnsi="Times New Roman" w:cs="Times New Roman"/>
          <w:i/>
          <w:sz w:val="28"/>
          <w:szCs w:val="28"/>
        </w:rPr>
        <w:t xml:space="preserve">The energy consumption determined as per para (a) to (d) above shall be adjusted for the change of load/demand, if any, during the period of overhauling of accounts. </w:t>
      </w:r>
    </w:p>
    <w:p w:rsidR="00A317D9" w:rsidRDefault="00A317D9" w:rsidP="00A317D9">
      <w:pPr>
        <w:pStyle w:val="ListParagraph"/>
        <w:spacing w:line="360" w:lineRule="auto"/>
        <w:ind w:left="0"/>
        <w:jc w:val="both"/>
        <w:rPr>
          <w:rFonts w:ascii="Times New Roman" w:hAnsi="Times New Roman" w:cs="Times New Roman"/>
          <w:sz w:val="28"/>
          <w:szCs w:val="28"/>
        </w:rPr>
      </w:pPr>
    </w:p>
    <w:p w:rsidR="00A317D9" w:rsidRDefault="00A317D9" w:rsidP="00A317D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As a sequel of above discussions, it is held that the account of the Petitioner should be overhauled, as per provisions contained in Regulation 21.5.2 (a) of Supply Code-2014, for a period of six months, prior to replacement of disputed Energy Meter, based on energy consumption recorded during the corresponding period of previous year. Accordingly, the Respondent is directed to recalculate the demand and refund/recover the amount found excess/short, if any, after adjustment.</w:t>
      </w:r>
    </w:p>
    <w:p w:rsidR="00A317D9" w:rsidRDefault="00A317D9" w:rsidP="00A317D9">
      <w:pPr>
        <w:pStyle w:val="ListParagraph"/>
        <w:spacing w:line="480" w:lineRule="auto"/>
        <w:ind w:left="0"/>
        <w:jc w:val="both"/>
        <w:rPr>
          <w:rFonts w:ascii="Times New Roman" w:hAnsi="Times New Roman" w:cs="Times New Roman"/>
          <w:sz w:val="28"/>
          <w:szCs w:val="28"/>
        </w:rPr>
      </w:pPr>
      <w:r w:rsidRPr="00136E90">
        <w:rPr>
          <w:rFonts w:ascii="Times New Roman" w:hAnsi="Times New Roman" w:cs="Times New Roman"/>
          <w:b/>
          <w:sz w:val="28"/>
          <w:szCs w:val="28"/>
        </w:rPr>
        <w:t>5.</w:t>
      </w:r>
      <w:r>
        <w:rPr>
          <w:rFonts w:ascii="Times New Roman" w:hAnsi="Times New Roman" w:cs="Times New Roman"/>
          <w:sz w:val="28"/>
          <w:szCs w:val="28"/>
        </w:rPr>
        <w:tab/>
        <w:t>The Appeal is disposed of accordingly.</w:t>
      </w:r>
    </w:p>
    <w:p w:rsidR="00A317D9" w:rsidRDefault="00A317D9" w:rsidP="00A317D9">
      <w:pPr>
        <w:pStyle w:val="ListParagraph"/>
        <w:spacing w:line="480" w:lineRule="auto"/>
        <w:ind w:left="0"/>
        <w:jc w:val="both"/>
        <w:rPr>
          <w:rFonts w:ascii="Times New Roman" w:hAnsi="Times New Roman" w:cs="Times New Roman"/>
          <w:sz w:val="28"/>
          <w:szCs w:val="28"/>
        </w:rPr>
      </w:pPr>
      <w:r w:rsidRPr="002B5F5B">
        <w:rPr>
          <w:rFonts w:ascii="Times New Roman" w:hAnsi="Times New Roman" w:cs="Times New Roman"/>
          <w:b/>
          <w:sz w:val="28"/>
          <w:szCs w:val="28"/>
        </w:rPr>
        <w:lastRenderedPageBreak/>
        <w:t>6.</w:t>
      </w:r>
      <w:r>
        <w:rPr>
          <w:rFonts w:ascii="Times New Roman" w:hAnsi="Times New Roman" w:cs="Times New Roman"/>
          <w:sz w:val="28"/>
          <w:szCs w:val="28"/>
        </w:rPr>
        <w:tab/>
        <w:t>EIC/Commercial, PSPCL, Patiala should issue instructions to all the Engineers-in-Chief / Chief Engineer of DS Zones to direct all the field officers/officials to ensure during the installation of LT CT operated Energy Meters alongwith LT CT that the Potential Wires tapped from the main cable should be of the same material as that of the main cable (directly or preferably through bi-metallic thimble) to avoid bi-metallic resistance due to which, the carbonization takes place and with the passage of time, the wires get disconnected contributing to less recording of  consumption by the Energy Meter.</w:t>
      </w:r>
    </w:p>
    <w:p w:rsidR="00870369" w:rsidRDefault="00A63F71" w:rsidP="00EB5C67">
      <w:pPr>
        <w:tabs>
          <w:tab w:val="left" w:pos="-90"/>
        </w:tabs>
        <w:spacing w:line="480" w:lineRule="auto"/>
        <w:jc w:val="both"/>
        <w:rPr>
          <w:rFonts w:ascii="Times New Roman" w:hAnsi="Times New Roman" w:cs="Times New Roman"/>
          <w:sz w:val="28"/>
          <w:szCs w:val="28"/>
        </w:rPr>
      </w:pPr>
      <w:r w:rsidRPr="009F4B91">
        <w:rPr>
          <w:rFonts w:ascii="Times New Roman" w:hAnsi="Times New Roman" w:cs="Times New Roman"/>
          <w:b/>
          <w:sz w:val="28"/>
          <w:szCs w:val="28"/>
        </w:rPr>
        <w:t>7.</w:t>
      </w:r>
      <w:r>
        <w:rPr>
          <w:rFonts w:ascii="Times New Roman" w:hAnsi="Times New Roman" w:cs="Times New Roman"/>
          <w:sz w:val="28"/>
          <w:szCs w:val="28"/>
        </w:rPr>
        <w:tab/>
      </w:r>
      <w:r w:rsidR="00870369">
        <w:rPr>
          <w:rFonts w:ascii="Times New Roman" w:hAnsi="Times New Roman" w:cs="Times New Roman"/>
          <w:sz w:val="28"/>
          <w:szCs w:val="28"/>
        </w:rPr>
        <w:t xml:space="preserve">Engineer-in-Chief, Commercial, PSPCL, Patiala may issue instructions requiring all the Addl. Superintending Engineers/Senior Executive Engineers to keep a vigil on the variations in the energy consumption recorded and available in SAP in respect of all categories of consumers within their respective jurisdiction, analyse the cases of abnormal decrease in consumption of current vis-à-vis previous month(s) and take immediate corrective action, wherever required, with a view to protect the interests of both the Utility and the Consumers.  </w:t>
      </w:r>
    </w:p>
    <w:p w:rsidR="00A317D9" w:rsidRDefault="00BB31A4" w:rsidP="00A317D9">
      <w:pPr>
        <w:spacing w:line="480" w:lineRule="auto"/>
        <w:jc w:val="both"/>
        <w:rPr>
          <w:rFonts w:ascii="Times New Roman" w:hAnsi="Times New Roman" w:cs="Times New Roman"/>
          <w:sz w:val="28"/>
          <w:szCs w:val="28"/>
        </w:rPr>
      </w:pPr>
      <w:r w:rsidRPr="00CA7EEC">
        <w:rPr>
          <w:rFonts w:ascii="Times New Roman" w:hAnsi="Times New Roman" w:cs="Times New Roman"/>
          <w:b/>
          <w:sz w:val="28"/>
          <w:szCs w:val="28"/>
        </w:rPr>
        <w:t>8</w:t>
      </w:r>
      <w:r w:rsidR="00A317D9" w:rsidRPr="00CA7EEC">
        <w:rPr>
          <w:rFonts w:ascii="Times New Roman" w:hAnsi="Times New Roman" w:cs="Times New Roman"/>
          <w:b/>
          <w:sz w:val="28"/>
          <w:szCs w:val="28"/>
        </w:rPr>
        <w:t>.</w:t>
      </w:r>
      <w:r w:rsidR="00A317D9">
        <w:rPr>
          <w:rFonts w:ascii="Times New Roman" w:hAnsi="Times New Roman" w:cs="Times New Roman"/>
          <w:sz w:val="28"/>
          <w:szCs w:val="28"/>
        </w:rPr>
        <w:tab/>
        <w:t xml:space="preserve">In case, the Petitioner or the Respondent (Licensee) is not satisfied with the above decision, they are at liberty to seek appropriate remedy against this order from the appropriate Bodies in accordance with </w:t>
      </w:r>
      <w:r w:rsidR="00A317D9">
        <w:rPr>
          <w:rFonts w:ascii="Times New Roman" w:hAnsi="Times New Roman" w:cs="Times New Roman"/>
          <w:sz w:val="28"/>
          <w:szCs w:val="28"/>
        </w:rPr>
        <w:lastRenderedPageBreak/>
        <w:t>Regulation 3.28 of Punjab State Electricity Regulatory Commission (Forum and Ombudsman) Regulations – 2016.</w:t>
      </w:r>
    </w:p>
    <w:p w:rsidR="00A317D9" w:rsidRDefault="00A317D9" w:rsidP="00A317D9">
      <w:pPr>
        <w:pStyle w:val="NoSpacing"/>
      </w:pPr>
      <w:r>
        <w:tab/>
      </w:r>
      <w:r>
        <w:tab/>
      </w:r>
      <w:r>
        <w:tab/>
      </w:r>
      <w:r>
        <w:tab/>
      </w:r>
      <w:r>
        <w:tab/>
      </w:r>
      <w:r>
        <w:tab/>
      </w:r>
      <w:r>
        <w:tab/>
        <w:t>(VIRINDER SINGH)</w:t>
      </w:r>
    </w:p>
    <w:p w:rsidR="00A317D9" w:rsidRDefault="00A317D9" w:rsidP="00A317D9">
      <w:pPr>
        <w:pStyle w:val="NoSpacing"/>
      </w:pPr>
      <w:r>
        <w:t>S.A.S. Nagar (Mohali)</w:t>
      </w:r>
      <w:r>
        <w:tab/>
      </w:r>
      <w:r>
        <w:tab/>
      </w:r>
      <w:r>
        <w:tab/>
        <w:t>LokPal (Ombudsman)</w:t>
      </w:r>
    </w:p>
    <w:p w:rsidR="00A317D9" w:rsidRDefault="00A317D9" w:rsidP="00A317D9">
      <w:pPr>
        <w:spacing w:line="480" w:lineRule="auto"/>
        <w:jc w:val="both"/>
        <w:rPr>
          <w:rFonts w:ascii="Times New Roman" w:hAnsi="Times New Roman" w:cs="Times New Roman"/>
          <w:sz w:val="28"/>
          <w:szCs w:val="28"/>
        </w:rPr>
      </w:pPr>
      <w:r>
        <w:rPr>
          <w:rFonts w:ascii="Times New Roman" w:hAnsi="Times New Roman" w:cs="Times New Roman"/>
          <w:sz w:val="28"/>
          <w:szCs w:val="28"/>
        </w:rPr>
        <w:t>February  27,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EA261A" w:rsidRDefault="00EA261A">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FB0A3E" w:rsidRDefault="00FB0A3E">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p w:rsidR="00BD248B" w:rsidRDefault="00BD248B">
      <w:pPr>
        <w:rPr>
          <w:rFonts w:ascii="Times New Roman" w:hAnsi="Times New Roman" w:cs="Times New Roman"/>
          <w:sz w:val="28"/>
          <w:szCs w:val="28"/>
        </w:rPr>
      </w:pPr>
    </w:p>
    <w:sectPr w:rsidR="00BD248B" w:rsidSect="00A317D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3E" w:rsidRDefault="00784B3E" w:rsidP="00D60527">
      <w:pPr>
        <w:spacing w:after="0" w:line="240" w:lineRule="auto"/>
      </w:pPr>
      <w:r>
        <w:separator/>
      </w:r>
    </w:p>
  </w:endnote>
  <w:endnote w:type="continuationSeparator" w:id="1">
    <w:p w:rsidR="00784B3E" w:rsidRDefault="00784B3E" w:rsidP="00D60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Jo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2" w:rsidRDefault="00887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2" w:rsidRDefault="00887F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2" w:rsidRDefault="00887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3E" w:rsidRDefault="00784B3E" w:rsidP="00D60527">
      <w:pPr>
        <w:spacing w:after="0" w:line="240" w:lineRule="auto"/>
      </w:pPr>
      <w:r>
        <w:separator/>
      </w:r>
    </w:p>
  </w:footnote>
  <w:footnote w:type="continuationSeparator" w:id="1">
    <w:p w:rsidR="00784B3E" w:rsidRDefault="00784B3E" w:rsidP="00D60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2" w:rsidRDefault="00887F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7282" o:spid="_x0000_s6146"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719"/>
      <w:docPartObj>
        <w:docPartGallery w:val="Page Numbers (Top of Page)"/>
        <w:docPartUnique/>
      </w:docPartObj>
    </w:sdtPr>
    <w:sdtContent>
      <w:p w:rsidR="0072764E" w:rsidRDefault="00887F4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7283" o:spid="_x0000_s6147"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16</w:t>
          </w:r>
        </w:fldSimple>
      </w:p>
    </w:sdtContent>
  </w:sdt>
  <w:p w:rsidR="0072764E" w:rsidRDefault="007276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42" w:rsidRDefault="00887F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7281" o:spid="_x0000_s6145"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AF7"/>
    <w:multiLevelType w:val="hybridMultilevel"/>
    <w:tmpl w:val="1AF0C064"/>
    <w:lvl w:ilvl="0" w:tplc="5B962024">
      <w:start w:val="1"/>
      <w:numFmt w:val="lowerRoman"/>
      <w:lvlText w:val="%1)"/>
      <w:lvlJc w:val="left"/>
      <w:pPr>
        <w:ind w:left="1080" w:hanging="360"/>
      </w:pPr>
      <w:rPr>
        <w:rFonts w:ascii="Times New Roman" w:eastAsiaTheme="minorEastAsia" w:hAnsi="Times New Roman" w:cs="Times New Roman" w:hint="default"/>
        <w:i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BA5CDF"/>
    <w:multiLevelType w:val="hybridMultilevel"/>
    <w:tmpl w:val="A78887CE"/>
    <w:lvl w:ilvl="0" w:tplc="13AC1FA6">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643226"/>
    <w:multiLevelType w:val="hybridMultilevel"/>
    <w:tmpl w:val="8676F478"/>
    <w:lvl w:ilvl="0" w:tplc="AF88776A">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9B3291"/>
    <w:multiLevelType w:val="hybridMultilevel"/>
    <w:tmpl w:val="2E668B6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47D45"/>
    <w:multiLevelType w:val="hybridMultilevel"/>
    <w:tmpl w:val="AC62B818"/>
    <w:lvl w:ilvl="0" w:tplc="F65A7EE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55FF1"/>
    <w:multiLevelType w:val="hybridMultilevel"/>
    <w:tmpl w:val="A2BA4E98"/>
    <w:lvl w:ilvl="0" w:tplc="948660CA">
      <w:start w:val="3"/>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A006C37"/>
    <w:multiLevelType w:val="hybridMultilevel"/>
    <w:tmpl w:val="A0EC266E"/>
    <w:lvl w:ilvl="0" w:tplc="FC5A93C0">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42A7BDD"/>
    <w:multiLevelType w:val="hybridMultilevel"/>
    <w:tmpl w:val="B0345F94"/>
    <w:lvl w:ilvl="0" w:tplc="6AB06268">
      <w:start w:val="2"/>
      <w:numFmt w:val="lowerLetter"/>
      <w:lvlText w:val="(%1)"/>
      <w:lvlJc w:val="left"/>
      <w:pPr>
        <w:ind w:left="1470" w:hanging="4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nsid w:val="6E5202E4"/>
    <w:multiLevelType w:val="hybridMultilevel"/>
    <w:tmpl w:val="BBBCAD98"/>
    <w:lvl w:ilvl="0" w:tplc="1E5AC1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9819CF"/>
    <w:multiLevelType w:val="hybridMultilevel"/>
    <w:tmpl w:val="5D8C4B50"/>
    <w:lvl w:ilvl="0" w:tplc="24402DAA">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5481C6F"/>
    <w:multiLevelType w:val="hybridMultilevel"/>
    <w:tmpl w:val="39329C54"/>
    <w:lvl w:ilvl="0" w:tplc="9F7A922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731DA4"/>
    <w:multiLevelType w:val="hybridMultilevel"/>
    <w:tmpl w:val="BFCA5A52"/>
    <w:lvl w:ilvl="0" w:tplc="15CEF00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F527C2"/>
    <w:multiLevelType w:val="hybridMultilevel"/>
    <w:tmpl w:val="96EA01E0"/>
    <w:lvl w:ilvl="0" w:tplc="8DF67B8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3"/>
  </w:num>
  <w:num w:numId="7">
    <w:abstractNumId w:val="4"/>
  </w:num>
  <w:num w:numId="8">
    <w:abstractNumId w:val="10"/>
  </w:num>
  <w:num w:numId="9">
    <w:abstractNumId w:val="12"/>
  </w:num>
  <w:num w:numId="10">
    <w:abstractNumId w:val="8"/>
  </w:num>
  <w:num w:numId="11">
    <w:abstractNumId w:val="7"/>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A317D9"/>
    <w:rsid w:val="00017649"/>
    <w:rsid w:val="00034973"/>
    <w:rsid w:val="00040BF5"/>
    <w:rsid w:val="00084251"/>
    <w:rsid w:val="0009119B"/>
    <w:rsid w:val="000A36FC"/>
    <w:rsid w:val="000B2CB8"/>
    <w:rsid w:val="000D1981"/>
    <w:rsid w:val="000E3B8F"/>
    <w:rsid w:val="000F1355"/>
    <w:rsid w:val="000F1A63"/>
    <w:rsid w:val="00103E29"/>
    <w:rsid w:val="00136E90"/>
    <w:rsid w:val="001432AA"/>
    <w:rsid w:val="00147608"/>
    <w:rsid w:val="00155DAB"/>
    <w:rsid w:val="00167291"/>
    <w:rsid w:val="00187285"/>
    <w:rsid w:val="001B3CA4"/>
    <w:rsid w:val="00200C05"/>
    <w:rsid w:val="0020774D"/>
    <w:rsid w:val="00222A05"/>
    <w:rsid w:val="00222E63"/>
    <w:rsid w:val="00247C55"/>
    <w:rsid w:val="00252682"/>
    <w:rsid w:val="00275B20"/>
    <w:rsid w:val="00287C2B"/>
    <w:rsid w:val="0029513E"/>
    <w:rsid w:val="002B1029"/>
    <w:rsid w:val="002B5F5B"/>
    <w:rsid w:val="002B5FA5"/>
    <w:rsid w:val="002C6EE7"/>
    <w:rsid w:val="002C751E"/>
    <w:rsid w:val="002D4BCE"/>
    <w:rsid w:val="002F2136"/>
    <w:rsid w:val="00301202"/>
    <w:rsid w:val="00341CEB"/>
    <w:rsid w:val="00350540"/>
    <w:rsid w:val="0035636E"/>
    <w:rsid w:val="003628C4"/>
    <w:rsid w:val="0036507F"/>
    <w:rsid w:val="00394DAA"/>
    <w:rsid w:val="003C48F8"/>
    <w:rsid w:val="003F26C8"/>
    <w:rsid w:val="004121C7"/>
    <w:rsid w:val="004463DE"/>
    <w:rsid w:val="00452950"/>
    <w:rsid w:val="00464A97"/>
    <w:rsid w:val="004A6948"/>
    <w:rsid w:val="004C1CCC"/>
    <w:rsid w:val="004D5054"/>
    <w:rsid w:val="004D7EEA"/>
    <w:rsid w:val="00526769"/>
    <w:rsid w:val="00534A04"/>
    <w:rsid w:val="00535B15"/>
    <w:rsid w:val="00543BD4"/>
    <w:rsid w:val="00561C65"/>
    <w:rsid w:val="00571340"/>
    <w:rsid w:val="00577F33"/>
    <w:rsid w:val="00581EB9"/>
    <w:rsid w:val="00585665"/>
    <w:rsid w:val="00591800"/>
    <w:rsid w:val="005C3680"/>
    <w:rsid w:val="005C38DB"/>
    <w:rsid w:val="006414E7"/>
    <w:rsid w:val="006626CA"/>
    <w:rsid w:val="00690D79"/>
    <w:rsid w:val="006A3062"/>
    <w:rsid w:val="006C3706"/>
    <w:rsid w:val="006E79F6"/>
    <w:rsid w:val="006E7EC3"/>
    <w:rsid w:val="006F00CF"/>
    <w:rsid w:val="006F66C1"/>
    <w:rsid w:val="006F7FD3"/>
    <w:rsid w:val="00700677"/>
    <w:rsid w:val="007040D5"/>
    <w:rsid w:val="007133C5"/>
    <w:rsid w:val="00723BAF"/>
    <w:rsid w:val="0072764E"/>
    <w:rsid w:val="0073540B"/>
    <w:rsid w:val="007405AB"/>
    <w:rsid w:val="00764C67"/>
    <w:rsid w:val="007811C9"/>
    <w:rsid w:val="0078193B"/>
    <w:rsid w:val="00784B3E"/>
    <w:rsid w:val="00796DDE"/>
    <w:rsid w:val="007D2BEC"/>
    <w:rsid w:val="00806FEE"/>
    <w:rsid w:val="00817526"/>
    <w:rsid w:val="00830FF4"/>
    <w:rsid w:val="008421BD"/>
    <w:rsid w:val="0084408D"/>
    <w:rsid w:val="008464E0"/>
    <w:rsid w:val="00850E0B"/>
    <w:rsid w:val="00870369"/>
    <w:rsid w:val="00872F2C"/>
    <w:rsid w:val="00882A82"/>
    <w:rsid w:val="00887F42"/>
    <w:rsid w:val="00890770"/>
    <w:rsid w:val="008B4A29"/>
    <w:rsid w:val="008B7B0C"/>
    <w:rsid w:val="008E6D93"/>
    <w:rsid w:val="009224BB"/>
    <w:rsid w:val="00942DB4"/>
    <w:rsid w:val="00946989"/>
    <w:rsid w:val="00961626"/>
    <w:rsid w:val="00962B53"/>
    <w:rsid w:val="0097148E"/>
    <w:rsid w:val="00976AA1"/>
    <w:rsid w:val="009875A8"/>
    <w:rsid w:val="00991AFF"/>
    <w:rsid w:val="00992614"/>
    <w:rsid w:val="009B4948"/>
    <w:rsid w:val="009C41E6"/>
    <w:rsid w:val="009E164F"/>
    <w:rsid w:val="009E16CF"/>
    <w:rsid w:val="009E6402"/>
    <w:rsid w:val="009E6766"/>
    <w:rsid w:val="009E6835"/>
    <w:rsid w:val="009F0724"/>
    <w:rsid w:val="009F4B91"/>
    <w:rsid w:val="00A317D9"/>
    <w:rsid w:val="00A560DE"/>
    <w:rsid w:val="00A63F71"/>
    <w:rsid w:val="00A673B7"/>
    <w:rsid w:val="00A67ABA"/>
    <w:rsid w:val="00AA2613"/>
    <w:rsid w:val="00AB369B"/>
    <w:rsid w:val="00AB5317"/>
    <w:rsid w:val="00AB79E9"/>
    <w:rsid w:val="00AD0831"/>
    <w:rsid w:val="00B27590"/>
    <w:rsid w:val="00B45925"/>
    <w:rsid w:val="00B56C52"/>
    <w:rsid w:val="00B6205F"/>
    <w:rsid w:val="00B62ACA"/>
    <w:rsid w:val="00B74F5F"/>
    <w:rsid w:val="00B91DC6"/>
    <w:rsid w:val="00BA1923"/>
    <w:rsid w:val="00BA598B"/>
    <w:rsid w:val="00BB31A4"/>
    <w:rsid w:val="00BB6602"/>
    <w:rsid w:val="00BC0DAC"/>
    <w:rsid w:val="00BC3333"/>
    <w:rsid w:val="00BC7CBD"/>
    <w:rsid w:val="00BD248B"/>
    <w:rsid w:val="00BD5753"/>
    <w:rsid w:val="00C17252"/>
    <w:rsid w:val="00C2065B"/>
    <w:rsid w:val="00C50051"/>
    <w:rsid w:val="00C52F27"/>
    <w:rsid w:val="00C61C67"/>
    <w:rsid w:val="00C61FBF"/>
    <w:rsid w:val="00C72EDD"/>
    <w:rsid w:val="00C737B7"/>
    <w:rsid w:val="00C91BFF"/>
    <w:rsid w:val="00C9297D"/>
    <w:rsid w:val="00CA34A4"/>
    <w:rsid w:val="00CA7EEC"/>
    <w:rsid w:val="00CB789D"/>
    <w:rsid w:val="00CC1930"/>
    <w:rsid w:val="00CD665B"/>
    <w:rsid w:val="00CE21AD"/>
    <w:rsid w:val="00CE3EA7"/>
    <w:rsid w:val="00CF3125"/>
    <w:rsid w:val="00D05BF1"/>
    <w:rsid w:val="00D241A7"/>
    <w:rsid w:val="00D315CA"/>
    <w:rsid w:val="00D34205"/>
    <w:rsid w:val="00D35F99"/>
    <w:rsid w:val="00D45828"/>
    <w:rsid w:val="00D458E3"/>
    <w:rsid w:val="00D60527"/>
    <w:rsid w:val="00D612FA"/>
    <w:rsid w:val="00D63D63"/>
    <w:rsid w:val="00DF3F25"/>
    <w:rsid w:val="00DF7129"/>
    <w:rsid w:val="00E04874"/>
    <w:rsid w:val="00E050D4"/>
    <w:rsid w:val="00E10D35"/>
    <w:rsid w:val="00E111DF"/>
    <w:rsid w:val="00E16BD5"/>
    <w:rsid w:val="00E16CD3"/>
    <w:rsid w:val="00E22E9B"/>
    <w:rsid w:val="00E40997"/>
    <w:rsid w:val="00E559E0"/>
    <w:rsid w:val="00E6174B"/>
    <w:rsid w:val="00E63AA8"/>
    <w:rsid w:val="00E7566F"/>
    <w:rsid w:val="00E97415"/>
    <w:rsid w:val="00EA261A"/>
    <w:rsid w:val="00EA3282"/>
    <w:rsid w:val="00EA76F3"/>
    <w:rsid w:val="00EB5C67"/>
    <w:rsid w:val="00EC676E"/>
    <w:rsid w:val="00EC745B"/>
    <w:rsid w:val="00EE7C16"/>
    <w:rsid w:val="00EF122D"/>
    <w:rsid w:val="00EF192D"/>
    <w:rsid w:val="00EF4374"/>
    <w:rsid w:val="00F17846"/>
    <w:rsid w:val="00F216C4"/>
    <w:rsid w:val="00F30ADC"/>
    <w:rsid w:val="00F34E16"/>
    <w:rsid w:val="00F500E7"/>
    <w:rsid w:val="00F57A4F"/>
    <w:rsid w:val="00F636E5"/>
    <w:rsid w:val="00F642C5"/>
    <w:rsid w:val="00F864C7"/>
    <w:rsid w:val="00F95E75"/>
    <w:rsid w:val="00F967DD"/>
    <w:rsid w:val="00FB0A3E"/>
    <w:rsid w:val="00FC2C41"/>
    <w:rsid w:val="00FC3F18"/>
    <w:rsid w:val="00FC4933"/>
    <w:rsid w:val="00FC763F"/>
    <w:rsid w:val="00FC7E57"/>
    <w:rsid w:val="00FE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7D9"/>
    <w:pPr>
      <w:spacing w:after="0" w:line="240" w:lineRule="auto"/>
      <w:ind w:left="720" w:hanging="720"/>
      <w:jc w:val="both"/>
    </w:pPr>
    <w:rPr>
      <w:rFonts w:ascii="Times New Roman" w:eastAsia="Calibri" w:hAnsi="Times New Roman" w:cs="Times New Roman"/>
      <w:spacing w:val="20"/>
      <w:sz w:val="28"/>
      <w:szCs w:val="28"/>
    </w:rPr>
  </w:style>
  <w:style w:type="paragraph" w:styleId="ListParagraph">
    <w:name w:val="List Paragraph"/>
    <w:basedOn w:val="Normal"/>
    <w:uiPriority w:val="34"/>
    <w:qFormat/>
    <w:rsid w:val="00A317D9"/>
    <w:pPr>
      <w:ind w:left="720"/>
      <w:contextualSpacing/>
    </w:pPr>
  </w:style>
  <w:style w:type="table" w:styleId="TableGrid">
    <w:name w:val="Table Grid"/>
    <w:basedOn w:val="TableNormal"/>
    <w:uiPriority w:val="59"/>
    <w:rsid w:val="00A31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27"/>
  </w:style>
  <w:style w:type="paragraph" w:styleId="Footer">
    <w:name w:val="footer"/>
    <w:basedOn w:val="Normal"/>
    <w:link w:val="FooterChar"/>
    <w:uiPriority w:val="99"/>
    <w:semiHidden/>
    <w:unhideWhenUsed/>
    <w:rsid w:val="00D60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527"/>
  </w:style>
</w:styles>
</file>

<file path=word/webSettings.xml><?xml version="1.0" encoding="utf-8"?>
<w:webSettings xmlns:r="http://schemas.openxmlformats.org/officeDocument/2006/relationships" xmlns:w="http://schemas.openxmlformats.org/wordprocessingml/2006/main">
  <w:divs>
    <w:div w:id="4031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41BC-85E0-4586-94EF-B8CD7ECF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222</cp:revision>
  <cp:lastPrinted>2018-02-27T05:46:00Z</cp:lastPrinted>
  <dcterms:created xsi:type="dcterms:W3CDTF">2018-02-26T06:24:00Z</dcterms:created>
  <dcterms:modified xsi:type="dcterms:W3CDTF">2018-02-27T09:14:00Z</dcterms:modified>
</cp:coreProperties>
</file>